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pPr w:leftFromText="141" w:rightFromText="141" w:vertAnchor="text" w:horzAnchor="page" w:tblpX="541" w:tblpY="34"/>
        <w:tblW w:w="10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9067"/>
      </w:tblGrid>
      <w:tr w:rsidR="00097C63" w14:paraId="4171D186" w14:textId="77777777">
        <w:trPr>
          <w:trHeight w:val="307"/>
        </w:trPr>
        <w:tc>
          <w:tcPr>
            <w:tcW w:w="1838" w:type="dxa"/>
            <w:vMerge w:val="restart"/>
            <w:shd w:val="clear" w:color="auto" w:fill="auto"/>
          </w:tcPr>
          <w:p w14:paraId="454D9F55" w14:textId="77777777" w:rsidR="00097C63" w:rsidRDefault="00FB6D14">
            <w:pPr>
              <w:ind w:left="-107" w:right="-190"/>
              <w:jc w:val="center"/>
              <w:rPr>
                <w:rFonts w:ascii="Times New Roman" w:hAnsi="Times New Roman"/>
                <w:b/>
                <w:bCs/>
                <w:sz w:val="34"/>
                <w:szCs w:val="34"/>
              </w:rPr>
            </w:pPr>
            <w:r>
              <w:rPr>
                <w:noProof/>
                <w:lang w:val="pl-PL" w:eastAsia="pl-PL"/>
              </w:rPr>
              <w:drawing>
                <wp:inline distT="0" distB="0" distL="0" distR="0">
                  <wp:extent cx="1048385" cy="1483360"/>
                  <wp:effectExtent l="0" t="0" r="0" b="254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065645" cy="1507389"/>
                          </a:xfrm>
                          <a:prstGeom prst="rect">
                            <a:avLst/>
                          </a:prstGeom>
                          <a:noFill/>
                          <a:ln>
                            <a:noFill/>
                          </a:ln>
                        </pic:spPr>
                      </pic:pic>
                    </a:graphicData>
                  </a:graphic>
                </wp:inline>
              </w:drawing>
            </w:r>
          </w:p>
        </w:tc>
        <w:tc>
          <w:tcPr>
            <w:tcW w:w="9067" w:type="dxa"/>
            <w:shd w:val="clear" w:color="auto" w:fill="BDD6EE" w:themeFill="accent5" w:themeFillTint="66"/>
          </w:tcPr>
          <w:p w14:paraId="5FEDD0D8" w14:textId="77777777" w:rsidR="00097C63" w:rsidRDefault="00FB6D14">
            <w:pPr>
              <w:jc w:val="center"/>
              <w:rPr>
                <w:rFonts w:ascii="Times New Roman" w:hAnsi="Times New Roman"/>
                <w:b/>
                <w:bCs/>
                <w:sz w:val="34"/>
                <w:szCs w:val="34"/>
              </w:rPr>
            </w:pPr>
            <w:r>
              <w:rPr>
                <w:rFonts w:ascii="Times New Roman" w:hAnsi="Times New Roman"/>
                <w:b/>
                <w:bCs/>
                <w:sz w:val="34"/>
                <w:szCs w:val="34"/>
              </w:rPr>
              <w:t>Eksploatacja i Niezawodnosc – Maintenance and Reliability</w:t>
            </w:r>
          </w:p>
        </w:tc>
      </w:tr>
      <w:tr w:rsidR="00097C63" w14:paraId="32D30674" w14:textId="77777777">
        <w:trPr>
          <w:trHeight w:val="307"/>
        </w:trPr>
        <w:tc>
          <w:tcPr>
            <w:tcW w:w="1838" w:type="dxa"/>
            <w:vMerge/>
            <w:shd w:val="clear" w:color="auto" w:fill="auto"/>
          </w:tcPr>
          <w:p w14:paraId="18911F14" w14:textId="77777777" w:rsidR="00097C63" w:rsidRDefault="00097C63">
            <w:pPr>
              <w:jc w:val="center"/>
              <w:rPr>
                <w:rFonts w:ascii="Times New Roman" w:hAnsi="Times New Roman"/>
                <w:b/>
                <w:bCs/>
                <w:sz w:val="28"/>
                <w:szCs w:val="28"/>
              </w:rPr>
            </w:pPr>
          </w:p>
        </w:tc>
        <w:tc>
          <w:tcPr>
            <w:tcW w:w="9067" w:type="dxa"/>
            <w:shd w:val="clear" w:color="auto" w:fill="BDD6EE" w:themeFill="accent5" w:themeFillTint="66"/>
          </w:tcPr>
          <w:p w14:paraId="467FE077" w14:textId="77777777" w:rsidR="00097C63" w:rsidRDefault="00FB6D14">
            <w:pPr>
              <w:jc w:val="center"/>
              <w:rPr>
                <w:rFonts w:ascii="Times New Roman" w:hAnsi="Times New Roman"/>
                <w:b/>
                <w:bCs/>
                <w:sz w:val="28"/>
                <w:szCs w:val="28"/>
              </w:rPr>
            </w:pPr>
            <w:r>
              <w:rPr>
                <w:rFonts w:ascii="Times New Roman" w:hAnsi="Times New Roman"/>
                <w:b/>
                <w:bCs/>
                <w:sz w:val="28"/>
                <w:szCs w:val="28"/>
              </w:rPr>
              <w:t>Volume 28 (2026), Issue 3</w:t>
            </w:r>
          </w:p>
        </w:tc>
      </w:tr>
      <w:tr w:rsidR="00097C63" w14:paraId="1E781A95" w14:textId="77777777">
        <w:trPr>
          <w:trHeight w:val="1417"/>
        </w:trPr>
        <w:tc>
          <w:tcPr>
            <w:tcW w:w="1838" w:type="dxa"/>
            <w:vMerge/>
            <w:shd w:val="clear" w:color="auto" w:fill="auto"/>
          </w:tcPr>
          <w:p w14:paraId="569B4379" w14:textId="77777777" w:rsidR="00097C63" w:rsidRDefault="00097C63">
            <w:pPr>
              <w:ind w:left="3001" w:right="-851"/>
              <w:rPr>
                <w:rFonts w:ascii="Times New Roman" w:hAnsi="Times New Roman"/>
                <w:sz w:val="18"/>
                <w:szCs w:val="18"/>
              </w:rPr>
            </w:pPr>
          </w:p>
        </w:tc>
        <w:tc>
          <w:tcPr>
            <w:tcW w:w="9067" w:type="dxa"/>
            <w:shd w:val="clear" w:color="auto" w:fill="BDD6EE" w:themeFill="accent5" w:themeFillTint="66"/>
          </w:tcPr>
          <w:p w14:paraId="35329C13" w14:textId="77777777" w:rsidR="00097C63" w:rsidRDefault="00FB6D14">
            <w:pPr>
              <w:ind w:left="3001" w:right="-851"/>
              <w:rPr>
                <w:rFonts w:ascii="Times New Roman" w:hAnsi="Times New Roman"/>
                <w:sz w:val="18"/>
                <w:szCs w:val="18"/>
              </w:rPr>
            </w:pPr>
            <w:r>
              <w:rPr>
                <w:rFonts w:ascii="Times New Roman" w:hAnsi="Times New Roman"/>
                <w:sz w:val="18"/>
                <w:szCs w:val="18"/>
              </w:rPr>
              <w:t>journal homepage: http://www.ein.org.pl</w:t>
            </w:r>
          </w:p>
          <w:p w14:paraId="719A51C7" w14:textId="77777777" w:rsidR="00097C63" w:rsidRDefault="00097C63">
            <w:pPr>
              <w:autoSpaceDE w:val="0"/>
              <w:autoSpaceDN w:val="0"/>
              <w:adjustRightInd w:val="0"/>
              <w:rPr>
                <w:rFonts w:ascii="Times New Roman" w:hAnsi="Times New Roman"/>
                <w:sz w:val="16"/>
                <w:szCs w:val="16"/>
              </w:rPr>
            </w:pPr>
          </w:p>
          <w:p w14:paraId="18EE45F7" w14:textId="77777777" w:rsidR="00097C63" w:rsidRDefault="00097C63">
            <w:pPr>
              <w:autoSpaceDE w:val="0"/>
              <w:autoSpaceDN w:val="0"/>
              <w:adjustRightInd w:val="0"/>
              <w:rPr>
                <w:rFonts w:ascii="Times New Roman" w:hAnsi="Times New Roman"/>
                <w:sz w:val="16"/>
                <w:szCs w:val="16"/>
              </w:rPr>
            </w:pPr>
          </w:p>
          <w:p w14:paraId="48402712" w14:textId="77777777" w:rsidR="00097C63" w:rsidRDefault="00FB6D14">
            <w:pPr>
              <w:autoSpaceDE w:val="0"/>
              <w:autoSpaceDN w:val="0"/>
              <w:adjustRightInd w:val="0"/>
              <w:rPr>
                <w:rFonts w:ascii="Times New Roman" w:hAnsi="Times New Roman"/>
                <w:sz w:val="16"/>
                <w:szCs w:val="16"/>
              </w:rPr>
            </w:pPr>
            <w:r>
              <w:rPr>
                <w:rFonts w:ascii="Times New Roman" w:hAnsi="Times New Roman"/>
                <w:sz w:val="16"/>
                <w:szCs w:val="16"/>
              </w:rPr>
              <w:t>Article citation info:</w:t>
            </w:r>
          </w:p>
          <w:p w14:paraId="64AB6615" w14:textId="77777777" w:rsidR="00097C63" w:rsidRDefault="00FB6D14">
            <w:pPr>
              <w:suppressAutoHyphens/>
              <w:spacing w:after="160"/>
              <w:ind w:right="425"/>
              <w:textAlignment w:val="baseline"/>
              <w:rPr>
                <w:rFonts w:ascii="Times New Roman" w:hAnsi="Times New Roman"/>
                <w:sz w:val="16"/>
                <w:szCs w:val="16"/>
              </w:rPr>
            </w:pPr>
            <w:r>
              <w:rPr>
                <w:rFonts w:ascii="Times New Roman" w:hAnsi="Times New Roman"/>
                <w:sz w:val="16"/>
                <w:szCs w:val="16"/>
              </w:rPr>
              <w:t>Gao X, Zhu B, Dong E, Cheng Z, Gao T, Wen L, Jiang K, Degraded system performance warranty decision model based on optimal preventive inspection, Eksploatacja i Niezawodnosc – Maintenance and Reliability 2026: 28(3) http://doi.org/ 10.17531/ein/218672</w:t>
            </w:r>
          </w:p>
        </w:tc>
      </w:tr>
    </w:tbl>
    <w:tbl>
      <w:tblPr>
        <w:tblStyle w:val="Tabela-Siatka"/>
        <w:tblW w:w="1091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5"/>
        <w:gridCol w:w="279"/>
        <w:gridCol w:w="7"/>
        <w:gridCol w:w="4821"/>
        <w:gridCol w:w="1135"/>
      </w:tblGrid>
      <w:tr w:rsidR="00097C63" w14:paraId="606D6CA9" w14:textId="77777777">
        <w:trPr>
          <w:trHeight w:val="270"/>
        </w:trPr>
        <w:tc>
          <w:tcPr>
            <w:tcW w:w="9782" w:type="dxa"/>
            <w:gridSpan w:val="4"/>
            <w:vMerge w:val="restart"/>
          </w:tcPr>
          <w:p w14:paraId="5A22D1B7" w14:textId="77777777" w:rsidR="00097C63" w:rsidRDefault="00FB6D14">
            <w:pPr>
              <w:spacing w:before="120"/>
              <w:rPr>
                <w:rFonts w:ascii="Times New Roman" w:eastAsiaTheme="majorEastAsia" w:hAnsi="Times New Roman"/>
                <w:b/>
                <w:bCs/>
                <w:iCs/>
                <w:sz w:val="28"/>
                <w:szCs w:val="28"/>
              </w:rPr>
            </w:pPr>
            <w:r>
              <w:rPr>
                <w:rFonts w:ascii="Times New Roman" w:eastAsiaTheme="majorEastAsia" w:hAnsi="Times New Roman"/>
                <w:b/>
                <w:bCs/>
                <w:iCs/>
                <w:sz w:val="28"/>
                <w:szCs w:val="28"/>
              </w:rPr>
              <w:t>Degraded system performance warranty decision model based on optimal preventive inspection</w:t>
            </w:r>
          </w:p>
        </w:tc>
        <w:tc>
          <w:tcPr>
            <w:tcW w:w="1135" w:type="dxa"/>
          </w:tcPr>
          <w:p w14:paraId="04D4527E" w14:textId="77777777" w:rsidR="00097C63" w:rsidRDefault="00FB6D14">
            <w:pPr>
              <w:spacing w:before="200"/>
              <w:jc w:val="right"/>
              <w:rPr>
                <w:rFonts w:ascii="Times New Roman" w:hAnsi="Times New Roman"/>
                <w:sz w:val="18"/>
                <w:szCs w:val="18"/>
              </w:rPr>
            </w:pPr>
            <w:r>
              <w:rPr>
                <w:rFonts w:ascii="Times New Roman" w:hAnsi="Times New Roman"/>
                <w:sz w:val="18"/>
                <w:szCs w:val="18"/>
              </w:rPr>
              <w:t>Indexed by:</w:t>
            </w:r>
          </w:p>
        </w:tc>
      </w:tr>
      <w:tr w:rsidR="00097C63" w14:paraId="05686901" w14:textId="77777777">
        <w:trPr>
          <w:trHeight w:val="548"/>
        </w:trPr>
        <w:tc>
          <w:tcPr>
            <w:tcW w:w="9782" w:type="dxa"/>
            <w:gridSpan w:val="4"/>
            <w:vMerge/>
          </w:tcPr>
          <w:p w14:paraId="3702A08E" w14:textId="77777777" w:rsidR="00097C63" w:rsidRDefault="00097C63">
            <w:pPr>
              <w:jc w:val="left"/>
              <w:rPr>
                <w:rFonts w:ascii="Times New Roman" w:hAnsi="Times New Roman"/>
              </w:rPr>
            </w:pPr>
          </w:p>
        </w:tc>
        <w:tc>
          <w:tcPr>
            <w:tcW w:w="1135" w:type="dxa"/>
          </w:tcPr>
          <w:p w14:paraId="7AD62C24" w14:textId="77777777" w:rsidR="00097C63" w:rsidRDefault="00FB6D14">
            <w:pPr>
              <w:ind w:right="-105"/>
              <w:jc w:val="center"/>
              <w:rPr>
                <w:rFonts w:ascii="Times New Roman" w:hAnsi="Times New Roman"/>
              </w:rPr>
            </w:pPr>
            <w:r>
              <w:rPr>
                <w:rFonts w:ascii="Times New Roman" w:hAnsi="Times New Roman"/>
                <w:b/>
                <w:bCs/>
                <w:noProof/>
                <w:sz w:val="30"/>
                <w:szCs w:val="30"/>
                <w:lang w:val="pl-PL" w:eastAsia="pl-PL"/>
              </w:rPr>
              <w:drawing>
                <wp:inline distT="0" distB="0" distL="0" distR="0">
                  <wp:extent cx="634365" cy="31559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61215" cy="328946"/>
                          </a:xfrm>
                          <a:prstGeom prst="rect">
                            <a:avLst/>
                          </a:prstGeom>
                          <a:noFill/>
                          <a:ln>
                            <a:noFill/>
                          </a:ln>
                        </pic:spPr>
                      </pic:pic>
                    </a:graphicData>
                  </a:graphic>
                </wp:inline>
              </w:drawing>
            </w:r>
            <w:r>
              <w:rPr>
                <w:rFonts w:ascii="Times New Roman" w:hAnsi="Times New Roman"/>
              </w:rPr>
              <w:t xml:space="preserve"> </w:t>
            </w:r>
          </w:p>
        </w:tc>
      </w:tr>
      <w:tr w:rsidR="00097C63" w14:paraId="5AED593F" w14:textId="77777777">
        <w:trPr>
          <w:trHeight w:val="539"/>
        </w:trPr>
        <w:tc>
          <w:tcPr>
            <w:tcW w:w="9782" w:type="dxa"/>
            <w:gridSpan w:val="4"/>
          </w:tcPr>
          <w:p w14:paraId="219B89B7" w14:textId="77777777" w:rsidR="00097C63" w:rsidRDefault="00FB6D14">
            <w:pPr>
              <w:overflowPunct w:val="0"/>
              <w:autoSpaceDE w:val="0"/>
              <w:autoSpaceDN w:val="0"/>
              <w:adjustRightInd w:val="0"/>
              <w:spacing w:before="120"/>
              <w:ind w:left="41" w:hanging="41"/>
              <w:textAlignment w:val="baseline"/>
              <w:outlineLvl w:val="0"/>
              <w:rPr>
                <w:rFonts w:ascii="Times New Roman" w:hAnsi="Times New Roman"/>
                <w:b/>
                <w:bCs/>
                <w:iCs/>
                <w:sz w:val="24"/>
                <w:vertAlign w:val="superscript"/>
              </w:rPr>
            </w:pPr>
            <w:r w:rsidRPr="007C1030">
              <w:rPr>
                <w:rFonts w:ascii="Times New Roman" w:hAnsi="Times New Roman"/>
                <w:b/>
                <w:bCs/>
                <w:iCs/>
                <w:sz w:val="24"/>
              </w:rPr>
              <w:t>Xinjian Gao</w:t>
            </w:r>
            <w:r>
              <w:rPr>
                <w:rFonts w:ascii="Times New Roman" w:hAnsi="Times New Roman"/>
                <w:b/>
                <w:bCs/>
                <w:iCs/>
                <w:sz w:val="24"/>
                <w:vertAlign w:val="superscript"/>
              </w:rPr>
              <w:t>a</w:t>
            </w:r>
            <w:r>
              <w:rPr>
                <w:rFonts w:ascii="Times New Roman" w:hAnsi="Times New Roman"/>
                <w:b/>
                <w:bCs/>
                <w:iCs/>
                <w:sz w:val="24"/>
              </w:rPr>
              <w:t>, Bo Zhu</w:t>
            </w:r>
            <w:r>
              <w:rPr>
                <w:rFonts w:ascii="Times New Roman" w:hAnsi="Times New Roman"/>
                <w:b/>
                <w:bCs/>
                <w:iCs/>
                <w:sz w:val="24"/>
                <w:vertAlign w:val="superscript"/>
              </w:rPr>
              <w:t>a</w:t>
            </w:r>
            <w:r>
              <w:rPr>
                <w:rFonts w:ascii="Times New Roman" w:hAnsi="Times New Roman"/>
                <w:b/>
                <w:bCs/>
                <w:iCs/>
                <w:sz w:val="24"/>
              </w:rPr>
              <w:t xml:space="preserve">, </w:t>
            </w:r>
            <w:r w:rsidRPr="007C1030">
              <w:rPr>
                <w:rFonts w:ascii="Times New Roman" w:hAnsi="Times New Roman"/>
                <w:b/>
                <w:bCs/>
                <w:iCs/>
                <w:sz w:val="24"/>
              </w:rPr>
              <w:t>Enzhi Dong</w:t>
            </w:r>
            <w:r>
              <w:rPr>
                <w:rFonts w:ascii="Times New Roman" w:hAnsi="Times New Roman"/>
                <w:b/>
                <w:bCs/>
                <w:iCs/>
                <w:sz w:val="24"/>
                <w:vertAlign w:val="superscript"/>
              </w:rPr>
              <w:t>a</w:t>
            </w:r>
            <w:r>
              <w:rPr>
                <w:rFonts w:ascii="Times New Roman" w:hAnsi="Times New Roman"/>
                <w:b/>
                <w:bCs/>
                <w:iCs/>
                <w:sz w:val="24"/>
              </w:rPr>
              <w:t xml:space="preserve">, </w:t>
            </w:r>
            <w:r w:rsidRPr="007C1030">
              <w:rPr>
                <w:rFonts w:ascii="Times New Roman" w:hAnsi="Times New Roman"/>
                <w:b/>
                <w:bCs/>
                <w:iCs/>
                <w:sz w:val="24"/>
              </w:rPr>
              <w:t>Zhonghua Cheng</w:t>
            </w:r>
            <w:r w:rsidRPr="007C1030">
              <w:rPr>
                <w:rFonts w:ascii="Times New Roman" w:hAnsi="Times New Roman"/>
                <w:b/>
                <w:bCs/>
                <w:iCs/>
                <w:sz w:val="24"/>
                <w:vertAlign w:val="superscript"/>
              </w:rPr>
              <w:t>a,*</w:t>
            </w:r>
            <w:r w:rsidRPr="007C1030">
              <w:rPr>
                <w:rFonts w:ascii="Times New Roman" w:hAnsi="Times New Roman"/>
                <w:b/>
                <w:bCs/>
                <w:iCs/>
                <w:sz w:val="24"/>
              </w:rPr>
              <w:t>, Tielu Gao</w:t>
            </w:r>
            <w:r w:rsidRPr="007C1030">
              <w:rPr>
                <w:rFonts w:ascii="Times New Roman" w:hAnsi="Times New Roman"/>
                <w:b/>
                <w:bCs/>
                <w:iCs/>
                <w:sz w:val="24"/>
                <w:vertAlign w:val="superscript"/>
              </w:rPr>
              <w:t>a</w:t>
            </w:r>
            <w:r w:rsidRPr="007C1030">
              <w:rPr>
                <w:rFonts w:ascii="Times New Roman" w:hAnsi="Times New Roman"/>
                <w:b/>
                <w:bCs/>
                <w:iCs/>
                <w:sz w:val="24"/>
              </w:rPr>
              <w:t>, Liang Wen</w:t>
            </w:r>
            <w:r w:rsidRPr="007C1030">
              <w:rPr>
                <w:rFonts w:ascii="Times New Roman" w:hAnsi="Times New Roman"/>
                <w:b/>
                <w:bCs/>
                <w:iCs/>
                <w:sz w:val="24"/>
                <w:vertAlign w:val="superscript"/>
              </w:rPr>
              <w:t>a</w:t>
            </w:r>
            <w:r w:rsidRPr="007C1030">
              <w:rPr>
                <w:rFonts w:ascii="Times New Roman" w:hAnsi="Times New Roman"/>
                <w:b/>
                <w:bCs/>
                <w:iCs/>
                <w:sz w:val="24"/>
              </w:rPr>
              <w:t>, Kexin Jiang</w:t>
            </w:r>
            <w:r w:rsidRPr="007C1030">
              <w:rPr>
                <w:rFonts w:ascii="Times New Roman" w:hAnsi="Times New Roman"/>
                <w:b/>
                <w:bCs/>
                <w:iCs/>
                <w:sz w:val="24"/>
                <w:vertAlign w:val="superscript"/>
              </w:rPr>
              <w:t>b</w:t>
            </w:r>
          </w:p>
          <w:p w14:paraId="70E347E3" w14:textId="77777777" w:rsidR="00097C63" w:rsidRDefault="00097C63">
            <w:pPr>
              <w:overflowPunct w:val="0"/>
              <w:autoSpaceDE w:val="0"/>
              <w:autoSpaceDN w:val="0"/>
              <w:adjustRightInd w:val="0"/>
              <w:spacing w:before="120"/>
              <w:textAlignment w:val="baseline"/>
              <w:outlineLvl w:val="0"/>
              <w:rPr>
                <w:rFonts w:ascii="Times New Roman" w:hAnsi="Times New Roman"/>
                <w:b/>
                <w:bCs/>
                <w:iCs/>
                <w:sz w:val="24"/>
                <w:vertAlign w:val="superscript"/>
              </w:rPr>
            </w:pPr>
          </w:p>
        </w:tc>
        <w:tc>
          <w:tcPr>
            <w:tcW w:w="1135" w:type="dxa"/>
          </w:tcPr>
          <w:p w14:paraId="5A49C3E7" w14:textId="77777777" w:rsidR="00097C63" w:rsidRDefault="00097C63">
            <w:pPr>
              <w:spacing w:before="120"/>
              <w:jc w:val="center"/>
              <w:rPr>
                <w:rFonts w:ascii="Times New Roman" w:hAnsi="Times New Roman"/>
              </w:rPr>
            </w:pPr>
          </w:p>
        </w:tc>
      </w:tr>
      <w:tr w:rsidR="00097C63" w14:paraId="5FF770BD" w14:textId="77777777">
        <w:trPr>
          <w:trHeight w:val="315"/>
        </w:trPr>
        <w:tc>
          <w:tcPr>
            <w:tcW w:w="10917" w:type="dxa"/>
            <w:gridSpan w:val="5"/>
          </w:tcPr>
          <w:p w14:paraId="2CB2F2CB" w14:textId="77777777" w:rsidR="00097C63" w:rsidRDefault="00FB6D14">
            <w:pPr>
              <w:overflowPunct w:val="0"/>
              <w:autoSpaceDE w:val="0"/>
              <w:autoSpaceDN w:val="0"/>
              <w:adjustRightInd w:val="0"/>
              <w:ind w:left="41" w:hanging="41"/>
              <w:textAlignment w:val="baseline"/>
              <w:rPr>
                <w:rFonts w:ascii="Times New Roman" w:hAnsi="Times New Roman"/>
                <w:iCs/>
                <w:sz w:val="18"/>
                <w:szCs w:val="18"/>
                <w:shd w:val="clear" w:color="auto" w:fill="FFFFFF"/>
              </w:rPr>
            </w:pPr>
            <w:r>
              <w:rPr>
                <w:rFonts w:ascii="Times New Roman" w:hAnsi="Times New Roman"/>
                <w:iCs/>
                <w:sz w:val="18"/>
                <w:szCs w:val="18"/>
                <w:shd w:val="clear" w:color="auto" w:fill="FFFFFF"/>
                <w:vertAlign w:val="superscript"/>
              </w:rPr>
              <w:t xml:space="preserve">a </w:t>
            </w:r>
            <w:r>
              <w:rPr>
                <w:rFonts w:ascii="Times New Roman" w:hAnsi="Times New Roman"/>
                <w:iCs/>
                <w:sz w:val="18"/>
                <w:szCs w:val="18"/>
                <w:shd w:val="clear" w:color="auto" w:fill="FFFFFF"/>
              </w:rPr>
              <w:t>Shijiazhuang Campus of Army Engineering University of PLA, China</w:t>
            </w:r>
          </w:p>
          <w:p w14:paraId="51F931C7" w14:textId="77777777" w:rsidR="00097C63" w:rsidRDefault="00FB6D14">
            <w:pPr>
              <w:overflowPunct w:val="0"/>
              <w:autoSpaceDE w:val="0"/>
              <w:autoSpaceDN w:val="0"/>
              <w:adjustRightInd w:val="0"/>
              <w:ind w:left="41" w:hanging="41"/>
              <w:textAlignment w:val="baseline"/>
              <w:rPr>
                <w:rFonts w:ascii="Times New Roman" w:hAnsi="Times New Roman"/>
                <w:iCs/>
                <w:sz w:val="18"/>
                <w:szCs w:val="18"/>
                <w:shd w:val="clear" w:color="auto" w:fill="FFFFFF"/>
              </w:rPr>
            </w:pPr>
            <w:r>
              <w:rPr>
                <w:rFonts w:ascii="Times New Roman" w:hAnsi="Times New Roman"/>
                <w:iCs/>
                <w:sz w:val="18"/>
                <w:szCs w:val="18"/>
                <w:shd w:val="clear" w:color="auto" w:fill="FFFFFF"/>
                <w:vertAlign w:val="superscript"/>
              </w:rPr>
              <w:t xml:space="preserve">b </w:t>
            </w:r>
            <w:r>
              <w:rPr>
                <w:rFonts w:ascii="Times New Roman" w:hAnsi="Times New Roman"/>
                <w:iCs/>
                <w:sz w:val="18"/>
                <w:szCs w:val="18"/>
                <w:shd w:val="clear" w:color="auto" w:fill="FFFFFF"/>
              </w:rPr>
              <w:t>Shijiazhuang Flying College of PLAAF, China</w:t>
            </w:r>
          </w:p>
        </w:tc>
      </w:tr>
      <w:tr w:rsidR="00097C63" w14:paraId="68468294" w14:textId="77777777">
        <w:trPr>
          <w:trHeight w:val="197"/>
        </w:trPr>
        <w:tc>
          <w:tcPr>
            <w:tcW w:w="4675" w:type="dxa"/>
          </w:tcPr>
          <w:p w14:paraId="471D14D4" w14:textId="77777777" w:rsidR="00097C63" w:rsidRDefault="00FB6D14">
            <w:pPr>
              <w:autoSpaceDE w:val="0"/>
              <w:autoSpaceDN w:val="0"/>
              <w:adjustRightInd w:val="0"/>
              <w:spacing w:before="120" w:after="120"/>
              <w:rPr>
                <w:rFonts w:ascii="Times New Roman" w:hAnsi="Times New Roman"/>
                <w:b/>
                <w:bCs/>
                <w:sz w:val="24"/>
              </w:rPr>
            </w:pPr>
            <w:r>
              <w:rPr>
                <w:rFonts w:ascii="Times New Roman" w:hAnsi="Times New Roman"/>
                <w:b/>
                <w:bCs/>
                <w:sz w:val="24"/>
              </w:rPr>
              <w:t>Highlights</w:t>
            </w:r>
          </w:p>
        </w:tc>
        <w:tc>
          <w:tcPr>
            <w:tcW w:w="279" w:type="dxa"/>
          </w:tcPr>
          <w:p w14:paraId="67D4C705" w14:textId="77777777" w:rsidR="00097C63" w:rsidRDefault="00097C63">
            <w:pPr>
              <w:autoSpaceDE w:val="0"/>
              <w:autoSpaceDN w:val="0"/>
              <w:adjustRightInd w:val="0"/>
              <w:spacing w:before="120"/>
              <w:rPr>
                <w:rFonts w:ascii="Times New Roman" w:hAnsi="Times New Roman"/>
                <w:b/>
                <w:bCs/>
                <w:sz w:val="24"/>
              </w:rPr>
            </w:pPr>
          </w:p>
        </w:tc>
        <w:tc>
          <w:tcPr>
            <w:tcW w:w="5963" w:type="dxa"/>
            <w:gridSpan w:val="3"/>
          </w:tcPr>
          <w:p w14:paraId="30131CD9" w14:textId="77777777" w:rsidR="00097C63" w:rsidRDefault="00FB6D14">
            <w:pPr>
              <w:autoSpaceDE w:val="0"/>
              <w:autoSpaceDN w:val="0"/>
              <w:adjustRightInd w:val="0"/>
              <w:spacing w:before="120" w:after="120"/>
              <w:rPr>
                <w:rFonts w:ascii="Times New Roman" w:hAnsi="Times New Roman"/>
                <w:b/>
                <w:bCs/>
                <w:sz w:val="24"/>
              </w:rPr>
            </w:pPr>
            <w:r>
              <w:rPr>
                <w:rFonts w:ascii="Times New Roman" w:hAnsi="Times New Roman"/>
                <w:b/>
                <w:bCs/>
                <w:sz w:val="24"/>
              </w:rPr>
              <w:t xml:space="preserve">Abstract </w:t>
            </w:r>
          </w:p>
        </w:tc>
      </w:tr>
      <w:tr w:rsidR="00097C63" w14:paraId="235EBD24" w14:textId="77777777">
        <w:trPr>
          <w:trHeight w:val="3019"/>
        </w:trPr>
        <w:tc>
          <w:tcPr>
            <w:tcW w:w="4675" w:type="dxa"/>
          </w:tcPr>
          <w:p w14:paraId="4A03427C" w14:textId="77777777" w:rsidR="00097C63" w:rsidRDefault="00FB6D14">
            <w:pPr>
              <w:pStyle w:val="wypunktowania"/>
              <w:spacing w:line="360" w:lineRule="auto"/>
              <w:ind w:left="714" w:right="0" w:hanging="357"/>
              <w:rPr>
                <w:lang w:eastAsia="pl-PL"/>
              </w:rPr>
            </w:pPr>
            <w:r>
              <w:rPr>
                <w:lang w:eastAsia="pl-PL"/>
              </w:rPr>
              <w:t>Proposed a performance warranty strategy with availability as the core.</w:t>
            </w:r>
          </w:p>
          <w:p w14:paraId="7A1A7A1E" w14:textId="77777777" w:rsidR="00097C63" w:rsidRDefault="00FB6D14">
            <w:pPr>
              <w:pStyle w:val="wypunktowania"/>
              <w:spacing w:line="360" w:lineRule="auto"/>
              <w:ind w:left="714" w:right="0" w:hanging="357"/>
              <w:rPr>
                <w:lang w:eastAsia="pl-PL"/>
              </w:rPr>
            </w:pPr>
            <w:r>
              <w:rPr>
                <w:lang w:eastAsia="pl-PL"/>
              </w:rPr>
              <w:t>Designed a profit function that includes reward and punishment measures.</w:t>
            </w:r>
          </w:p>
          <w:p w14:paraId="64CBC064" w14:textId="77777777" w:rsidR="00097C63" w:rsidRDefault="00FB6D14">
            <w:pPr>
              <w:pStyle w:val="wypunktowania"/>
              <w:spacing w:line="360" w:lineRule="auto"/>
              <w:ind w:left="714" w:right="0" w:hanging="357"/>
              <w:rPr>
                <w:lang w:eastAsia="pl-PL"/>
              </w:rPr>
            </w:pPr>
            <w:r>
              <w:rPr>
                <w:lang w:eastAsia="pl-PL"/>
              </w:rPr>
              <w:t>A model was constructed with the goal of maximizing the manufacturer's warranty profit.</w:t>
            </w:r>
          </w:p>
          <w:p w14:paraId="77A0A0F4" w14:textId="77777777" w:rsidR="00097C63" w:rsidRDefault="00FB6D14">
            <w:pPr>
              <w:pStyle w:val="wypunktowania"/>
              <w:spacing w:line="360" w:lineRule="auto"/>
              <w:ind w:left="714" w:right="0" w:hanging="357"/>
              <w:rPr>
                <w:lang w:eastAsia="pl-PL"/>
              </w:rPr>
            </w:pPr>
            <w:r>
              <w:rPr>
                <w:lang w:eastAsia="pl-PL"/>
              </w:rPr>
              <w:t>Extended the interval between initial preventive inspection and avoided overinspection.</w:t>
            </w:r>
          </w:p>
          <w:p w14:paraId="51AF5168" w14:textId="77777777" w:rsidR="00097C63" w:rsidRDefault="00FB6D14">
            <w:pPr>
              <w:pStyle w:val="wypunktowania"/>
              <w:spacing w:line="360" w:lineRule="auto"/>
              <w:ind w:left="714" w:right="0" w:hanging="357"/>
              <w:rPr>
                <w:lang w:eastAsia="pl-PL"/>
              </w:rPr>
            </w:pPr>
            <w:r>
              <w:rPr>
                <w:lang w:eastAsia="pl-PL"/>
              </w:rPr>
              <w:t>Derived the degradation function of the Inverse Gaussian process.</w:t>
            </w:r>
          </w:p>
        </w:tc>
        <w:tc>
          <w:tcPr>
            <w:tcW w:w="279" w:type="dxa"/>
          </w:tcPr>
          <w:p w14:paraId="1637BDBB" w14:textId="77777777" w:rsidR="00097C63" w:rsidRDefault="00097C63">
            <w:pPr>
              <w:autoSpaceDE w:val="0"/>
              <w:autoSpaceDN w:val="0"/>
              <w:adjustRightInd w:val="0"/>
              <w:rPr>
                <w:rFonts w:ascii="Times New Roman" w:hAnsi="Times New Roman"/>
                <w:b/>
                <w:bCs/>
                <w:sz w:val="24"/>
              </w:rPr>
            </w:pPr>
          </w:p>
        </w:tc>
        <w:tc>
          <w:tcPr>
            <w:tcW w:w="5963" w:type="dxa"/>
            <w:gridSpan w:val="3"/>
          </w:tcPr>
          <w:p w14:paraId="73767B22" w14:textId="77777777" w:rsidR="00097C63" w:rsidRDefault="00FB6D14">
            <w:pPr>
              <w:pStyle w:val="abstrakt"/>
              <w:rPr>
                <w:bCs/>
              </w:rPr>
            </w:pPr>
            <w:r>
              <w:rPr>
                <w:bCs/>
              </w:rPr>
              <w:t xml:space="preserve">To address the lack of research on </w:t>
            </w:r>
            <w:r>
              <w:rPr>
                <w:rFonts w:hint="eastAsia"/>
                <w:bCs/>
              </w:rPr>
              <w:t>c</w:t>
            </w:r>
            <w:r>
              <w:rPr>
                <w:bCs/>
              </w:rPr>
              <w:t>ondition-</w:t>
            </w:r>
            <w:r>
              <w:rPr>
                <w:rFonts w:hint="eastAsia"/>
                <w:bCs/>
              </w:rPr>
              <w:t>b</w:t>
            </w:r>
            <w:r>
              <w:rPr>
                <w:bCs/>
              </w:rPr>
              <w:t>ased maintenance</w:t>
            </w:r>
            <w:r>
              <w:rPr>
                <w:rFonts w:hint="eastAsia"/>
                <w:bCs/>
              </w:rPr>
              <w:t xml:space="preserve"> </w:t>
            </w:r>
            <w:r>
              <w:rPr>
                <w:bCs/>
              </w:rPr>
              <w:t>optimization and incentive mechanisms within the performance warranty framework,</w:t>
            </w:r>
            <w:r>
              <w:rPr>
                <w:rFonts w:hint="eastAsia"/>
                <w:bCs/>
              </w:rPr>
              <w:t xml:space="preserve"> </w:t>
            </w:r>
            <w:r>
              <w:rPr>
                <w:bCs/>
              </w:rPr>
              <w:t xml:space="preserve">this study focuses on a repairable system governed by an </w:t>
            </w:r>
            <w:r>
              <w:rPr>
                <w:rFonts w:hint="eastAsia"/>
                <w:bCs/>
              </w:rPr>
              <w:t>I</w:t>
            </w:r>
            <w:r>
              <w:rPr>
                <w:bCs/>
              </w:rPr>
              <w:t xml:space="preserve">nverse </w:t>
            </w:r>
            <w:r>
              <w:rPr>
                <w:rFonts w:hint="eastAsia"/>
                <w:bCs/>
              </w:rPr>
              <w:t>G</w:t>
            </w:r>
            <w:r>
              <w:rPr>
                <w:bCs/>
              </w:rPr>
              <w:t xml:space="preserve">aussian degradation process. By integrating preventive </w:t>
            </w:r>
            <w:r>
              <w:rPr>
                <w:rFonts w:hint="eastAsia"/>
                <w:bCs/>
              </w:rPr>
              <w:t>inspection</w:t>
            </w:r>
            <w:r>
              <w:rPr>
                <w:bCs/>
              </w:rPr>
              <w:t xml:space="preserve"> measures and an availability-centered reward-penalty mechanism, a novel </w:t>
            </w:r>
            <w:r>
              <w:rPr>
                <w:rFonts w:hint="eastAsia"/>
                <w:bCs/>
              </w:rPr>
              <w:t>p</w:t>
            </w:r>
            <w:r>
              <w:rPr>
                <w:bCs/>
              </w:rPr>
              <w:t>erformance</w:t>
            </w:r>
            <w:r>
              <w:rPr>
                <w:rFonts w:hint="eastAsia"/>
                <w:bCs/>
              </w:rPr>
              <w:t xml:space="preserve"> </w:t>
            </w:r>
            <w:r>
              <w:rPr>
                <w:bCs/>
              </w:rPr>
              <w:t xml:space="preserve">warranty decision model is constructed. The model takes the initial </w:t>
            </w:r>
            <w:r>
              <w:rPr>
                <w:rFonts w:hint="eastAsia"/>
                <w:bCs/>
              </w:rPr>
              <w:t>inspection</w:t>
            </w:r>
            <w:r>
              <w:rPr>
                <w:bCs/>
              </w:rPr>
              <w:t xml:space="preserve"> interval, subsequent </w:t>
            </w:r>
            <w:r>
              <w:rPr>
                <w:rFonts w:hint="eastAsia"/>
                <w:bCs/>
              </w:rPr>
              <w:t>inspection</w:t>
            </w:r>
            <w:r>
              <w:rPr>
                <w:bCs/>
              </w:rPr>
              <w:t xml:space="preserve"> intervals, and preventive maintenance</w:t>
            </w:r>
            <w:r>
              <w:rPr>
                <w:rFonts w:hint="eastAsia"/>
                <w:bCs/>
              </w:rPr>
              <w:t xml:space="preserve"> </w:t>
            </w:r>
            <w:r>
              <w:rPr>
                <w:bCs/>
              </w:rPr>
              <w:t xml:space="preserve">threshold as decision variables, with the objective of maximizing the manufacturer's warranty profit. A </w:t>
            </w:r>
            <w:r>
              <w:rPr>
                <w:rFonts w:hint="eastAsia"/>
                <w:bCs/>
              </w:rPr>
              <w:t>p</w:t>
            </w:r>
            <w:r>
              <w:rPr>
                <w:bCs/>
              </w:rPr>
              <w:t xml:space="preserve">article </w:t>
            </w:r>
            <w:r>
              <w:rPr>
                <w:rFonts w:hint="eastAsia"/>
                <w:bCs/>
              </w:rPr>
              <w:t>s</w:t>
            </w:r>
            <w:r>
              <w:rPr>
                <w:bCs/>
              </w:rPr>
              <w:t xml:space="preserve">warm </w:t>
            </w:r>
            <w:r>
              <w:rPr>
                <w:rFonts w:hint="eastAsia"/>
                <w:bCs/>
              </w:rPr>
              <w:t>o</w:t>
            </w:r>
            <w:r>
              <w:rPr>
                <w:bCs/>
              </w:rPr>
              <w:t>ptimization algorithm is employed to solve the model, followed by a case study. Experimental results demonstrate that compared to cost-minimization warranty strateg</w:t>
            </w:r>
            <w:r>
              <w:rPr>
                <w:rFonts w:hint="eastAsia"/>
                <w:bCs/>
              </w:rPr>
              <w:t>y</w:t>
            </w:r>
            <w:r>
              <w:rPr>
                <w:bCs/>
              </w:rPr>
              <w:t xml:space="preserve"> and non-differentiated periodic </w:t>
            </w:r>
            <w:r>
              <w:rPr>
                <w:rFonts w:hint="eastAsia"/>
                <w:bCs/>
              </w:rPr>
              <w:t>inspection</w:t>
            </w:r>
            <w:r>
              <w:rPr>
                <w:bCs/>
              </w:rPr>
              <w:t xml:space="preserve"> strateg</w:t>
            </w:r>
            <w:r>
              <w:rPr>
                <w:rFonts w:hint="eastAsia"/>
                <w:bCs/>
              </w:rPr>
              <w:t>y,</w:t>
            </w:r>
            <w:r>
              <w:rPr>
                <w:bCs/>
              </w:rPr>
              <w:t xml:space="preserve"> the proposed </w:t>
            </w:r>
            <w:r>
              <w:rPr>
                <w:rFonts w:hint="eastAsia"/>
                <w:bCs/>
              </w:rPr>
              <w:t>p</w:t>
            </w:r>
            <w:r>
              <w:rPr>
                <w:bCs/>
              </w:rPr>
              <w:t>erformance</w:t>
            </w:r>
            <w:r>
              <w:rPr>
                <w:rFonts w:hint="eastAsia"/>
                <w:bCs/>
              </w:rPr>
              <w:t xml:space="preserve"> w</w:t>
            </w:r>
            <w:r>
              <w:rPr>
                <w:bCs/>
              </w:rPr>
              <w:t xml:space="preserve">arranty </w:t>
            </w:r>
            <w:r>
              <w:rPr>
                <w:rFonts w:hint="eastAsia"/>
                <w:bCs/>
              </w:rPr>
              <w:t>s</w:t>
            </w:r>
            <w:r>
              <w:rPr>
                <w:bCs/>
              </w:rPr>
              <w:t>trategy</w:t>
            </w:r>
            <w:r>
              <w:rPr>
                <w:rFonts w:hint="eastAsia"/>
                <w:bCs/>
              </w:rPr>
              <w:t xml:space="preserve"> </w:t>
            </w:r>
            <w:r>
              <w:rPr>
                <w:bCs/>
              </w:rPr>
              <w:t xml:space="preserve">achieves 7.9% and 21.5% improvements in manufacturer warranty profits, respectively, validating its effectiveness. Further sensitivity analysis increases the applicability of </w:t>
            </w:r>
            <w:r>
              <w:rPr>
                <w:rFonts w:hint="eastAsia"/>
                <w:bCs/>
              </w:rPr>
              <w:t>p</w:t>
            </w:r>
            <w:r>
              <w:rPr>
                <w:bCs/>
              </w:rPr>
              <w:t>erformance</w:t>
            </w:r>
            <w:r>
              <w:rPr>
                <w:rFonts w:hint="eastAsia"/>
                <w:bCs/>
              </w:rPr>
              <w:t xml:space="preserve"> w</w:t>
            </w:r>
            <w:r>
              <w:rPr>
                <w:bCs/>
              </w:rPr>
              <w:t xml:space="preserve">arranty </w:t>
            </w:r>
            <w:r>
              <w:rPr>
                <w:rFonts w:hint="eastAsia"/>
                <w:bCs/>
              </w:rPr>
              <w:t>s</w:t>
            </w:r>
            <w:r>
              <w:rPr>
                <w:bCs/>
              </w:rPr>
              <w:t>trategy</w:t>
            </w:r>
            <w:r>
              <w:rPr>
                <w:rFonts w:hint="eastAsia"/>
                <w:bCs/>
              </w:rPr>
              <w:t>.</w:t>
            </w:r>
          </w:p>
        </w:tc>
      </w:tr>
      <w:tr w:rsidR="00097C63" w14:paraId="4B750293" w14:textId="77777777">
        <w:trPr>
          <w:trHeight w:val="128"/>
        </w:trPr>
        <w:tc>
          <w:tcPr>
            <w:tcW w:w="4675" w:type="dxa"/>
          </w:tcPr>
          <w:p w14:paraId="6E4CB223" w14:textId="77777777" w:rsidR="00097C63" w:rsidRDefault="00097C63">
            <w:pPr>
              <w:autoSpaceDE w:val="0"/>
              <w:autoSpaceDN w:val="0"/>
              <w:adjustRightInd w:val="0"/>
              <w:rPr>
                <w:rFonts w:ascii="Times New Roman" w:hAnsi="Times New Roman"/>
                <w:b/>
                <w:bCs/>
                <w:sz w:val="24"/>
              </w:rPr>
            </w:pPr>
          </w:p>
        </w:tc>
        <w:tc>
          <w:tcPr>
            <w:tcW w:w="286" w:type="dxa"/>
            <w:gridSpan w:val="2"/>
            <w:vMerge w:val="restart"/>
          </w:tcPr>
          <w:p w14:paraId="0F5AD01F" w14:textId="77777777" w:rsidR="00097C63" w:rsidRDefault="00097C63">
            <w:pPr>
              <w:autoSpaceDE w:val="0"/>
              <w:autoSpaceDN w:val="0"/>
              <w:adjustRightInd w:val="0"/>
              <w:rPr>
                <w:rFonts w:ascii="Times New Roman" w:hAnsi="Times New Roman"/>
                <w:b/>
                <w:bCs/>
                <w:sz w:val="24"/>
              </w:rPr>
            </w:pPr>
          </w:p>
        </w:tc>
        <w:tc>
          <w:tcPr>
            <w:tcW w:w="5956" w:type="dxa"/>
            <w:gridSpan w:val="2"/>
          </w:tcPr>
          <w:p w14:paraId="29EEDBDA" w14:textId="77777777" w:rsidR="00097C63" w:rsidRDefault="00FB6D14">
            <w:pPr>
              <w:autoSpaceDE w:val="0"/>
              <w:autoSpaceDN w:val="0"/>
              <w:adjustRightInd w:val="0"/>
              <w:spacing w:before="120"/>
              <w:rPr>
                <w:rFonts w:ascii="Times New Roman" w:hAnsi="Times New Roman"/>
                <w:b/>
                <w:bCs/>
                <w:sz w:val="24"/>
              </w:rPr>
            </w:pPr>
            <w:r>
              <w:rPr>
                <w:rFonts w:ascii="Times New Roman" w:hAnsi="Times New Roman"/>
                <w:b/>
                <w:bCs/>
              </w:rPr>
              <w:t>Keywords</w:t>
            </w:r>
          </w:p>
        </w:tc>
      </w:tr>
      <w:tr w:rsidR="00097C63" w14:paraId="2B354412" w14:textId="77777777">
        <w:trPr>
          <w:trHeight w:val="544"/>
        </w:trPr>
        <w:tc>
          <w:tcPr>
            <w:tcW w:w="4675" w:type="dxa"/>
            <w:vAlign w:val="center"/>
          </w:tcPr>
          <w:p w14:paraId="25AA01D9" w14:textId="77777777" w:rsidR="00097C63" w:rsidRDefault="00FB6D14">
            <w:pPr>
              <w:autoSpaceDE w:val="0"/>
              <w:autoSpaceDN w:val="0"/>
              <w:adjustRightInd w:val="0"/>
              <w:rPr>
                <w:rFonts w:ascii="Times New Roman" w:hAnsi="Times New Roman"/>
                <w:sz w:val="20"/>
                <w:szCs w:val="20"/>
              </w:rPr>
            </w:pPr>
            <w:r>
              <w:rPr>
                <w:rFonts w:ascii="Times New Roman" w:hAnsi="Times New Roman"/>
                <w:sz w:val="20"/>
                <w:szCs w:val="20"/>
              </w:rPr>
              <w:t>This is an open access article under the CC BY license</w:t>
            </w:r>
          </w:p>
          <w:p w14:paraId="62F0AD13" w14:textId="77777777" w:rsidR="00097C63" w:rsidRDefault="00FB6D14">
            <w:pPr>
              <w:autoSpaceDE w:val="0"/>
              <w:autoSpaceDN w:val="0"/>
              <w:adjustRightInd w:val="0"/>
              <w:rPr>
                <w:rFonts w:ascii="Times New Roman" w:hAnsi="Times New Roman"/>
                <w:b/>
                <w:bCs/>
                <w:sz w:val="24"/>
              </w:rPr>
            </w:pPr>
            <w:r>
              <w:rPr>
                <w:rFonts w:ascii="Times New Roman" w:hAnsi="Times New Roman"/>
                <w:noProof/>
                <w:sz w:val="20"/>
                <w:szCs w:val="20"/>
                <w:lang w:val="pl-PL" w:eastAsia="pl-PL"/>
              </w:rPr>
              <w:drawing>
                <wp:anchor distT="0" distB="0" distL="114300" distR="114300" simplePos="0" relativeHeight="251659264" behindDoc="1" locked="0" layoutInCell="1" allowOverlap="1">
                  <wp:simplePos x="0" y="0"/>
                  <wp:positionH relativeFrom="column">
                    <wp:posOffset>2465070</wp:posOffset>
                  </wp:positionH>
                  <wp:positionV relativeFrom="paragraph">
                    <wp:posOffset>16510</wp:posOffset>
                  </wp:positionV>
                  <wp:extent cx="345440" cy="120650"/>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45440" cy="120650"/>
                          </a:xfrm>
                          <a:prstGeom prst="rect">
                            <a:avLst/>
                          </a:prstGeom>
                          <a:noFill/>
                          <a:ln>
                            <a:noFill/>
                          </a:ln>
                        </pic:spPr>
                      </pic:pic>
                    </a:graphicData>
                  </a:graphic>
                </wp:anchor>
              </w:drawing>
            </w:r>
            <w:r>
              <w:rPr>
                <w:rFonts w:ascii="Times New Roman" w:hAnsi="Times New Roman"/>
                <w:sz w:val="20"/>
                <w:szCs w:val="20"/>
              </w:rPr>
              <w:t>(https://creativecommons.org/licenses/by/4.0/)</w:t>
            </w:r>
            <w:r>
              <w:rPr>
                <w:rFonts w:ascii="Times New Roman" w:hAnsi="Times New Roman"/>
                <w:sz w:val="18"/>
                <w:szCs w:val="18"/>
              </w:rPr>
              <w:t xml:space="preserve"> </w:t>
            </w:r>
          </w:p>
        </w:tc>
        <w:tc>
          <w:tcPr>
            <w:tcW w:w="286" w:type="dxa"/>
            <w:gridSpan w:val="2"/>
            <w:vMerge/>
            <w:vAlign w:val="center"/>
          </w:tcPr>
          <w:p w14:paraId="462C8C6A" w14:textId="77777777" w:rsidR="00097C63" w:rsidRDefault="00097C63">
            <w:pPr>
              <w:autoSpaceDE w:val="0"/>
              <w:autoSpaceDN w:val="0"/>
              <w:adjustRightInd w:val="0"/>
              <w:rPr>
                <w:rFonts w:ascii="Times New Roman" w:hAnsi="Times New Roman"/>
                <w:b/>
                <w:bCs/>
                <w:sz w:val="24"/>
              </w:rPr>
            </w:pPr>
          </w:p>
        </w:tc>
        <w:tc>
          <w:tcPr>
            <w:tcW w:w="5956" w:type="dxa"/>
            <w:gridSpan w:val="2"/>
          </w:tcPr>
          <w:p w14:paraId="3613A888" w14:textId="77777777" w:rsidR="00097C63" w:rsidRDefault="00FB6D14">
            <w:pPr>
              <w:pStyle w:val="sowakluczowe"/>
            </w:pPr>
            <w:r>
              <w:t>preventive maintenance, particle swarm optimization, condition-based maintenance, performance warranty strategy, Inverse Gaussian, preventive inspection</w:t>
            </w:r>
          </w:p>
        </w:tc>
      </w:tr>
    </w:tbl>
    <w:p w14:paraId="6E3E400D" w14:textId="77777777" w:rsidR="00097C63" w:rsidRDefault="00097C63">
      <w:pPr>
        <w:pStyle w:val="Nagwek1"/>
        <w:numPr>
          <w:ilvl w:val="0"/>
          <w:numId w:val="0"/>
        </w:numPr>
        <w:sectPr w:rsidR="00097C63">
          <w:footerReference w:type="even" r:id="rId12"/>
          <w:footerReference w:type="default" r:id="rId13"/>
          <w:footerReference w:type="first" r:id="rId14"/>
          <w:pgSz w:w="11906" w:h="16838"/>
          <w:pgMar w:top="567" w:right="1417" w:bottom="1417" w:left="1417" w:header="708" w:footer="708" w:gutter="0"/>
          <w:cols w:space="708"/>
          <w:docGrid w:linePitch="360"/>
        </w:sectPr>
      </w:pPr>
      <w:bookmarkStart w:id="1" w:name="_Ref110445863"/>
    </w:p>
    <w:p w14:paraId="1BB48274" w14:textId="77777777" w:rsidR="00097C63" w:rsidRDefault="00FB6D14">
      <w:pPr>
        <w:pStyle w:val="Nagwek1"/>
        <w:numPr>
          <w:ilvl w:val="0"/>
          <w:numId w:val="11"/>
        </w:numPr>
      </w:pPr>
      <w:r>
        <w:t>Introduction</w:t>
      </w:r>
      <w:bookmarkEnd w:id="1"/>
    </w:p>
    <w:p w14:paraId="45AC9129" w14:textId="77777777" w:rsidR="00097C63" w:rsidRDefault="00097C63">
      <w:pPr>
        <w:pStyle w:val="tekstgowny"/>
        <w:sectPr w:rsidR="00097C63">
          <w:footerReference w:type="default" r:id="rId15"/>
          <w:type w:val="continuous"/>
          <w:pgSz w:w="11906" w:h="16838"/>
          <w:pgMar w:top="567" w:right="567" w:bottom="1559" w:left="567" w:header="709" w:footer="709" w:gutter="0"/>
          <w:cols w:space="567"/>
          <w:docGrid w:linePitch="360"/>
        </w:sectPr>
      </w:pPr>
      <w:bookmarkStart w:id="2" w:name="OLE_LINK2"/>
      <w:bookmarkStart w:id="3" w:name="OLE_LINK1"/>
    </w:p>
    <w:tbl>
      <w:tblPr>
        <w:tblStyle w:val="Tabela-Siatka"/>
        <w:tblpPr w:leftFromText="141" w:rightFromText="141" w:vertAnchor="text" w:horzAnchor="margin" w:tblpY="3356"/>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8789"/>
      </w:tblGrid>
      <w:tr w:rsidR="00097C63" w14:paraId="48FF69AA" w14:textId="77777777" w:rsidTr="00B02226">
        <w:trPr>
          <w:trHeight w:val="574"/>
        </w:trPr>
        <w:tc>
          <w:tcPr>
            <w:tcW w:w="1843" w:type="dxa"/>
          </w:tcPr>
          <w:bookmarkEnd w:id="2"/>
          <w:bookmarkEnd w:id="3"/>
          <w:p w14:paraId="014F7AC4" w14:textId="77777777" w:rsidR="00097C63" w:rsidRDefault="00FB6D14" w:rsidP="00B02226">
            <w:pPr>
              <w:ind w:left="-102" w:right="-1134"/>
              <w:rPr>
                <w:rFonts w:ascii="Times New Roman" w:hAnsi="Times New Roman"/>
                <w:sz w:val="16"/>
                <w:szCs w:val="16"/>
              </w:rPr>
            </w:pPr>
            <w:r>
              <w:rPr>
                <w:rFonts w:ascii="Times New Roman" w:hAnsi="Times New Roman"/>
                <w:sz w:val="16"/>
                <w:szCs w:val="16"/>
              </w:rPr>
              <w:t>(*) Corresponding author.</w:t>
            </w:r>
          </w:p>
          <w:p w14:paraId="61257456" w14:textId="77777777" w:rsidR="00097C63" w:rsidRDefault="00FB6D14" w:rsidP="00B02226">
            <w:pPr>
              <w:ind w:left="-100" w:right="-1134"/>
              <w:rPr>
                <w:rFonts w:ascii="Times New Roman" w:hAnsi="Times New Roman"/>
                <w:sz w:val="16"/>
                <w:szCs w:val="16"/>
              </w:rPr>
            </w:pPr>
            <w:r>
              <w:rPr>
                <w:rFonts w:ascii="Times New Roman" w:hAnsi="Times New Roman"/>
                <w:sz w:val="16"/>
                <w:szCs w:val="16"/>
              </w:rPr>
              <w:t>E-mail addresses:</w:t>
            </w:r>
          </w:p>
        </w:tc>
        <w:tc>
          <w:tcPr>
            <w:tcW w:w="8789" w:type="dxa"/>
          </w:tcPr>
          <w:p w14:paraId="74ECFDDA" w14:textId="77777777" w:rsidR="00097C63" w:rsidRDefault="00FB6D14" w:rsidP="00B02226">
            <w:pPr>
              <w:ind w:right="6"/>
              <w:jc w:val="left"/>
              <w:rPr>
                <w:rFonts w:ascii="Times New Roman" w:hAnsi="Times New Roman"/>
                <w:sz w:val="16"/>
                <w:szCs w:val="16"/>
              </w:rPr>
            </w:pPr>
            <w:r>
              <w:rPr>
                <w:noProof/>
                <w:lang w:val="pl-PL" w:eastAsia="pl-PL"/>
              </w:rPr>
              <mc:AlternateContent>
                <mc:Choice Requires="wps">
                  <w:drawing>
                    <wp:anchor distT="0" distB="0" distL="114300" distR="114300" simplePos="0" relativeHeight="251660288" behindDoc="0" locked="0" layoutInCell="1" allowOverlap="1">
                      <wp:simplePos x="0" y="0"/>
                      <wp:positionH relativeFrom="column">
                        <wp:posOffset>-1257935</wp:posOffset>
                      </wp:positionH>
                      <wp:positionV relativeFrom="paragraph">
                        <wp:posOffset>-635</wp:posOffset>
                      </wp:positionV>
                      <wp:extent cx="3282950" cy="0"/>
                      <wp:effectExtent l="0" t="0" r="0" b="0"/>
                      <wp:wrapNone/>
                      <wp:docPr id="2" name="Łącznik prosty 2"/>
                      <wp:cNvGraphicFramePr/>
                      <a:graphic xmlns:a="http://schemas.openxmlformats.org/drawingml/2006/main">
                        <a:graphicData uri="http://schemas.microsoft.com/office/word/2010/wordprocessingShape">
                          <wps:wsp>
                            <wps:cNvCnPr/>
                            <wps:spPr>
                              <a:xfrm>
                                <a:off x="0" y="0"/>
                                <a:ext cx="3282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Łącznik prosty 2" o:spid="_x0000_s1026" o:spt="20" style="position:absolute;left:0pt;margin-left:-99.05pt;margin-top:-0.05pt;height:0pt;width:258.5pt;z-index:251660288;mso-width-relative:page;mso-height-relative:page;" filled="f" stroked="t" coordsize="21600,21600" o:gfxdata="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JaD4IXVAAAACAEAAA8AAAAAAAAAAQAg&#10;AAAAIgAAAGRycy9kb3ducmV2LnhtbFBLAQIUABQAAAAIAIdO4kD8h3Ip2AEAALIDAAAOAAAAAAAA&#10;AAEAIAAAACQBAABkcnMvZTJvRG9jLnhtbFBLBQYAAAAABgAGAFkBAABuBQAAAAA=&#10;">
                      <v:fill on="f" focussize="0,0"/>
                      <v:stroke weight="0.5pt" color="#000000 [3213]" miterlimit="8" joinstyle="miter"/>
                      <v:imagedata o:title=""/>
                      <o:lock v:ext="edit" aspectratio="f"/>
                    </v:line>
                  </w:pict>
                </mc:Fallback>
              </mc:AlternateContent>
            </w:r>
          </w:p>
          <w:p w14:paraId="22EEBBBD" w14:textId="77777777" w:rsidR="00097C63" w:rsidRDefault="00FB6D14" w:rsidP="00B02226">
            <w:pPr>
              <w:jc w:val="left"/>
              <w:rPr>
                <w:rFonts w:ascii="Times New Roman" w:hAnsi="Times New Roman"/>
                <w:iCs/>
                <w:sz w:val="16"/>
                <w:szCs w:val="16"/>
                <w:lang w:val="sr-Latn-BA"/>
              </w:rPr>
            </w:pPr>
            <w:r>
              <w:rPr>
                <w:rFonts w:ascii="Times New Roman" w:hAnsi="Times New Roman" w:hint="eastAsia"/>
                <w:iCs/>
                <w:sz w:val="16"/>
                <w:szCs w:val="16"/>
              </w:rPr>
              <w:t>X</w:t>
            </w:r>
            <w:r>
              <w:rPr>
                <w:rFonts w:ascii="Times New Roman" w:hAnsi="Times New Roman"/>
                <w:iCs/>
                <w:sz w:val="16"/>
                <w:szCs w:val="16"/>
                <w:lang w:val="sr-Latn-BA"/>
              </w:rPr>
              <w:t>. Gao</w:t>
            </w:r>
            <w:r>
              <w:rPr>
                <w:rFonts w:ascii="Times New Roman" w:hAnsi="Times New Roman"/>
                <w:iCs/>
                <w:sz w:val="16"/>
                <w:szCs w:val="16"/>
              </w:rPr>
              <w:t>,</w:t>
            </w:r>
            <w:r>
              <w:rPr>
                <w:rFonts w:ascii="Times New Roman" w:hAnsi="Times New Roman" w:hint="eastAsia"/>
                <w:iCs/>
                <w:sz w:val="16"/>
                <w:szCs w:val="16"/>
              </w:rPr>
              <w:t xml:space="preserve"> </w:t>
            </w:r>
            <w:r>
              <w:rPr>
                <w:rFonts w:ascii="Times New Roman" w:hAnsi="Times New Roman"/>
                <w:iCs/>
                <w:sz w:val="16"/>
                <w:szCs w:val="16"/>
                <w:lang w:val="sr-Latn-BA"/>
              </w:rPr>
              <w:t>13912453267@163.com, B. Zhu,</w:t>
            </w:r>
            <w:r>
              <w:rPr>
                <w:rFonts w:ascii="Times New Roman" w:hAnsi="Times New Roman" w:hint="eastAsia"/>
                <w:iCs/>
                <w:sz w:val="16"/>
                <w:szCs w:val="16"/>
              </w:rPr>
              <w:t xml:space="preserve"> </w:t>
            </w:r>
            <w:r>
              <w:rPr>
                <w:rFonts w:ascii="Times New Roman" w:hAnsi="Times New Roman"/>
                <w:iCs/>
                <w:sz w:val="16"/>
                <w:szCs w:val="16"/>
                <w:lang w:val="sr-Latn-BA"/>
              </w:rPr>
              <w:t>z12175320923@163.com, E. Dong</w:t>
            </w:r>
            <w:r>
              <w:rPr>
                <w:rFonts w:ascii="Times New Roman" w:hAnsi="Times New Roman"/>
                <w:iCs/>
                <w:sz w:val="16"/>
                <w:szCs w:val="16"/>
              </w:rPr>
              <w:t>,</w:t>
            </w:r>
            <w:r>
              <w:rPr>
                <w:rFonts w:ascii="Times New Roman" w:hAnsi="Times New Roman"/>
                <w:iCs/>
                <w:sz w:val="16"/>
                <w:szCs w:val="16"/>
                <w:lang w:val="sr-Latn-BA"/>
              </w:rPr>
              <w:t xml:space="preserve"> </w:t>
            </w:r>
            <w:hyperlink r:id="rId16" w:history="1">
              <w:r>
                <w:rPr>
                  <w:rFonts w:ascii="Times New Roman" w:hAnsi="Times New Roman" w:hint="eastAsia"/>
                  <w:iCs/>
                  <w:sz w:val="16"/>
                  <w:szCs w:val="16"/>
                  <w:lang w:val="sr-Latn-BA"/>
                </w:rPr>
                <w:t>ez_dong@aeu.edu.cn,</w:t>
              </w:r>
            </w:hyperlink>
            <w:r>
              <w:rPr>
                <w:rFonts w:ascii="Times New Roman" w:hAnsi="Times New Roman" w:hint="eastAsia"/>
                <w:iCs/>
                <w:sz w:val="16"/>
                <w:szCs w:val="16"/>
              </w:rPr>
              <w:t xml:space="preserve"> </w:t>
            </w:r>
            <w:r>
              <w:rPr>
                <w:rFonts w:ascii="Times New Roman" w:hAnsi="Times New Roman"/>
                <w:iCs/>
                <w:sz w:val="16"/>
                <w:szCs w:val="16"/>
                <w:lang w:val="sr-Latn-BA"/>
              </w:rPr>
              <w:t>Z. Cheng</w:t>
            </w:r>
            <w:r>
              <w:rPr>
                <w:rFonts w:ascii="Times New Roman" w:hAnsi="Times New Roman"/>
                <w:iCs/>
                <w:sz w:val="16"/>
                <w:szCs w:val="16"/>
              </w:rPr>
              <w:t>,</w:t>
            </w:r>
            <w:r>
              <w:rPr>
                <w:rFonts w:ascii="Times New Roman" w:hAnsi="Times New Roman" w:hint="eastAsia"/>
                <w:iCs/>
                <w:sz w:val="16"/>
                <w:szCs w:val="16"/>
              </w:rPr>
              <w:t xml:space="preserve"> </w:t>
            </w:r>
            <w:r>
              <w:rPr>
                <w:rFonts w:ascii="Times New Roman" w:hAnsi="Times New Roman"/>
                <w:iCs/>
                <w:sz w:val="16"/>
                <w:szCs w:val="16"/>
                <w:lang w:val="sr-Latn-BA"/>
              </w:rPr>
              <w:t>a15032073178@sina.com, T. Gao</w:t>
            </w:r>
            <w:r>
              <w:rPr>
                <w:rFonts w:ascii="Times New Roman" w:hAnsi="Times New Roman"/>
                <w:iCs/>
                <w:sz w:val="16"/>
                <w:szCs w:val="16"/>
              </w:rPr>
              <w:t>,</w:t>
            </w:r>
            <w:r>
              <w:rPr>
                <w:rFonts w:ascii="Times New Roman" w:hAnsi="Times New Roman"/>
                <w:iCs/>
                <w:sz w:val="16"/>
                <w:szCs w:val="16"/>
                <w:lang w:val="sr-Latn-BA"/>
              </w:rPr>
              <w:t xml:space="preserve"> gaotielu2002@</w:t>
            </w:r>
            <w:r>
              <w:rPr>
                <w:rFonts w:ascii="Times New Roman" w:hAnsi="Times New Roman" w:hint="eastAsia"/>
                <w:iCs/>
                <w:sz w:val="16"/>
                <w:szCs w:val="16"/>
              </w:rPr>
              <w:t>163</w:t>
            </w:r>
            <w:r>
              <w:rPr>
                <w:rFonts w:ascii="Times New Roman" w:hAnsi="Times New Roman"/>
                <w:iCs/>
                <w:sz w:val="16"/>
                <w:szCs w:val="16"/>
                <w:lang w:val="sr-Latn-BA"/>
              </w:rPr>
              <w:t>.com, L. Wen</w:t>
            </w:r>
            <w:r>
              <w:rPr>
                <w:rFonts w:ascii="Times New Roman" w:hAnsi="Times New Roman"/>
                <w:iCs/>
                <w:sz w:val="16"/>
                <w:szCs w:val="16"/>
              </w:rPr>
              <w:t>,</w:t>
            </w:r>
            <w:r>
              <w:rPr>
                <w:rFonts w:ascii="Times New Roman" w:hAnsi="Times New Roman"/>
                <w:iCs/>
                <w:sz w:val="16"/>
                <w:szCs w:val="16"/>
                <w:lang w:val="sr-Latn-BA"/>
              </w:rPr>
              <w:t xml:space="preserve"> lwenmark123@</w:t>
            </w:r>
            <w:r>
              <w:rPr>
                <w:rFonts w:ascii="Times New Roman" w:hAnsi="Times New Roman" w:hint="eastAsia"/>
                <w:iCs/>
                <w:sz w:val="16"/>
                <w:szCs w:val="16"/>
              </w:rPr>
              <w:t>163</w:t>
            </w:r>
            <w:r>
              <w:rPr>
                <w:rFonts w:ascii="Times New Roman" w:hAnsi="Times New Roman"/>
                <w:iCs/>
                <w:sz w:val="16"/>
                <w:szCs w:val="16"/>
                <w:lang w:val="sr-Latn-BA"/>
              </w:rPr>
              <w:t>.com, K. Jiang</w:t>
            </w:r>
            <w:r>
              <w:rPr>
                <w:rFonts w:ascii="Times New Roman" w:hAnsi="Times New Roman"/>
                <w:iCs/>
                <w:sz w:val="16"/>
                <w:szCs w:val="16"/>
              </w:rPr>
              <w:t>,</w:t>
            </w:r>
            <w:r>
              <w:rPr>
                <w:rFonts w:ascii="Times New Roman" w:hAnsi="Times New Roman" w:hint="eastAsia"/>
                <w:iCs/>
                <w:sz w:val="16"/>
                <w:szCs w:val="16"/>
              </w:rPr>
              <w:t xml:space="preserve"> </w:t>
            </w:r>
            <w:r>
              <w:rPr>
                <w:rFonts w:ascii="Times New Roman" w:hAnsi="Times New Roman"/>
                <w:iCs/>
                <w:sz w:val="16"/>
                <w:szCs w:val="16"/>
                <w:lang w:val="sr-Latn-BA"/>
              </w:rPr>
              <w:fldChar w:fldCharType="begin"/>
            </w:r>
            <w:r>
              <w:rPr>
                <w:rFonts w:ascii="Times New Roman" w:hAnsi="Times New Roman"/>
                <w:iCs/>
                <w:sz w:val="16"/>
                <w:szCs w:val="16"/>
                <w:lang w:val="sr-Latn-BA"/>
              </w:rPr>
              <w:instrText xml:space="preserve"> HYPERLINK "mailto:21938390@qq.com_x0005_</w:instrText>
            </w:r>
          </w:p>
          <w:p w14:paraId="497F0062" w14:textId="77777777" w:rsidR="00097C63" w:rsidRDefault="00097C63" w:rsidP="00B02226">
            <w:pPr>
              <w:jc w:val="left"/>
              <w:rPr>
                <w:rFonts w:ascii="Times New Roman" w:hAnsi="Times New Roman"/>
                <w:iCs/>
                <w:sz w:val="16"/>
                <w:szCs w:val="16"/>
                <w:lang w:val="sr-Latn-BA"/>
              </w:rPr>
            </w:pPr>
          </w:p>
          <w:p w14:paraId="20924F90" w14:textId="77777777" w:rsidR="00097C63" w:rsidRDefault="00FB6D14" w:rsidP="00B02226">
            <w:pPr>
              <w:jc w:val="left"/>
              <w:rPr>
                <w:rFonts w:ascii="Times New Roman" w:hAnsi="Times New Roman"/>
                <w:iCs/>
                <w:sz w:val="16"/>
                <w:szCs w:val="16"/>
                <w:lang w:val="sr-Latn-BA"/>
              </w:rPr>
            </w:pPr>
            <w:r>
              <w:rPr>
                <w:rFonts w:ascii="Times New Roman" w:hAnsi="Times New Roman"/>
                <w:iCs/>
                <w:sz w:val="16"/>
                <w:szCs w:val="16"/>
                <w:lang w:val="sr-Latn-BA"/>
              </w:rPr>
              <w:instrText xml:space="preserve">" </w:instrText>
            </w:r>
            <w:r>
              <w:rPr>
                <w:rFonts w:ascii="Times New Roman" w:hAnsi="Times New Roman"/>
                <w:iCs/>
                <w:sz w:val="16"/>
                <w:szCs w:val="16"/>
                <w:lang w:val="sr-Latn-BA"/>
              </w:rPr>
              <w:fldChar w:fldCharType="separate"/>
            </w:r>
            <w:r>
              <w:rPr>
                <w:rFonts w:ascii="Times New Roman" w:hAnsi="Times New Roman"/>
                <w:iCs/>
                <w:sz w:val="16"/>
                <w:szCs w:val="16"/>
                <w:lang w:val="sr-Latn-BA"/>
              </w:rPr>
              <w:t>21938390@qq.com</w:t>
            </w:r>
            <w:r>
              <w:rPr>
                <w:rFonts w:ascii="Times New Roman" w:hAnsi="Times New Roman"/>
                <w:iCs/>
                <w:sz w:val="16"/>
                <w:szCs w:val="16"/>
                <w:lang w:val="sr-Latn-BA"/>
              </w:rPr>
              <w:fldChar w:fldCharType="end"/>
            </w:r>
          </w:p>
          <w:p w14:paraId="35E9F1BF" w14:textId="77777777" w:rsidR="00097C63" w:rsidRDefault="00097C63" w:rsidP="00B02226">
            <w:pPr>
              <w:jc w:val="left"/>
              <w:rPr>
                <w:rStyle w:val="Odwoaniedokomentarza"/>
              </w:rPr>
            </w:pPr>
          </w:p>
        </w:tc>
      </w:tr>
    </w:tbl>
    <w:p w14:paraId="6C47E618" w14:textId="6A3B159A" w:rsidR="00097C63" w:rsidRDefault="00FB6D14">
      <w:pPr>
        <w:pStyle w:val="tekstgowny"/>
        <w:ind w:firstLine="0"/>
        <w:rPr>
          <w:lang w:val="en-US"/>
        </w:rPr>
      </w:pPr>
      <w:r>
        <w:rPr>
          <w:rFonts w:hint="eastAsia"/>
          <w:lang w:val="en-US"/>
        </w:rPr>
        <w:t>In the face of the intense market competition, manufacturing enterprises generally consider product warranty a key component of their after-sales service systems. Warranty services not only provide consumers with post-purchase rights protection and reduce economic losses from product quality issues but also reflect the manufacturer's confidence in product reliability. Research indicates that a reasonable warranty strategy can significantly enhance a product's market competitiveness and positively impact the manufacturer's profits [1].</w:t>
      </w:r>
    </w:p>
    <w:p w14:paraId="5C77CDD5" w14:textId="77777777" w:rsidR="00097C63" w:rsidRDefault="00FB6D14">
      <w:pPr>
        <w:pStyle w:val="tekstgowny"/>
        <w:rPr>
          <w:lang w:val="en-US"/>
        </w:rPr>
      </w:pPr>
      <w:r>
        <w:rPr>
          <w:lang w:val="en-US"/>
        </w:rPr>
        <w:t>For high-reliability products with long-term usage characteristics, performance degradation is often a gradual process. Taking the power batteries of new energy vehicles as an example, although such batteries have a long service life, they inevitably experience capacity decay during charge-discharge cycles, manifesting as reduced driving range, increased energy consumption, and higher charging frequency. To address this issue, manufacturers have introduced</w:t>
      </w:r>
      <w:r>
        <w:rPr>
          <w:rFonts w:hint="eastAsia"/>
          <w:lang w:val="en-US"/>
        </w:rPr>
        <w:t xml:space="preserve"> the p</w:t>
      </w:r>
      <w:r>
        <w:rPr>
          <w:lang w:val="en-US"/>
        </w:rPr>
        <w:t>erformance</w:t>
      </w:r>
      <w:r>
        <w:rPr>
          <w:rFonts w:hint="eastAsia"/>
          <w:lang w:val="en-US"/>
        </w:rPr>
        <w:t xml:space="preserve"> w</w:t>
      </w:r>
      <w:r>
        <w:rPr>
          <w:lang w:val="en-US"/>
        </w:rPr>
        <w:t xml:space="preserve">arranty </w:t>
      </w:r>
      <w:r>
        <w:rPr>
          <w:rFonts w:hint="eastAsia"/>
          <w:lang w:val="en-US"/>
        </w:rPr>
        <w:t>s</w:t>
      </w:r>
      <w:r>
        <w:rPr>
          <w:lang w:val="en-US"/>
        </w:rPr>
        <w:t xml:space="preserve">trategy </w:t>
      </w:r>
      <w:r>
        <w:rPr>
          <w:rFonts w:hint="eastAsia"/>
          <w:lang w:val="en-US"/>
        </w:rPr>
        <w:t>(PWS)</w:t>
      </w:r>
      <w:r>
        <w:rPr>
          <w:lang w:val="en-US"/>
        </w:rPr>
        <w:t xml:space="preserve">, </w:t>
      </w:r>
      <w:r>
        <w:rPr>
          <w:rFonts w:hint="eastAsia"/>
          <w:lang w:val="en-US"/>
        </w:rPr>
        <w:t>which centers on</w:t>
      </w:r>
      <w:r>
        <w:rPr>
          <w:lang w:val="en-US"/>
        </w:rPr>
        <w:t xml:space="preserve"> transforming traditional warranty services into commitments </w:t>
      </w:r>
      <w:r>
        <w:rPr>
          <w:lang w:val="en-US"/>
        </w:rPr>
        <w:lastRenderedPageBreak/>
        <w:t>regarding product performance outcomes [</w:t>
      </w:r>
      <w:r>
        <w:rPr>
          <w:rFonts w:hint="eastAsia"/>
          <w:lang w:val="en-US"/>
        </w:rPr>
        <w:t>2</w:t>
      </w:r>
      <w:r>
        <w:rPr>
          <w:lang w:val="en-US"/>
        </w:rPr>
        <w:t>]</w:t>
      </w:r>
      <w:r>
        <w:rPr>
          <w:rFonts w:hint="eastAsia"/>
          <w:lang w:val="en-US"/>
        </w:rPr>
        <w:t xml:space="preserve">. </w:t>
      </w:r>
      <w:r>
        <w:rPr>
          <w:lang w:val="en-US"/>
        </w:rPr>
        <w:t>PWS overcomes the limitations of conventional warranty models by shifting the focus from mere repair services to maintaining actual operational performance. Under PWS, users only need to set clear minimum performance thresholds and incentive mechanisms, without imposing rigid requirements on the manufacturer's specific maintenance methods. This flexibility encourages manufacturers to proactively optimize product quality, enhance maintenance efficiency, and refine service strategies, thereby fostering a mutually beneficial cycle for both supply and demand sides. PWS has been successfully applied in various fields, including new</w:t>
      </w:r>
      <w:r>
        <w:rPr>
          <w:rFonts w:hint="eastAsia"/>
          <w:lang w:val="en-US"/>
        </w:rPr>
        <w:t>-</w:t>
      </w:r>
      <w:r>
        <w:rPr>
          <w:lang w:val="en-US"/>
        </w:rPr>
        <w:t>energy vehicle powertrains, aviation equipment, and photovoltaic power generation systems [</w:t>
      </w:r>
      <w:r>
        <w:rPr>
          <w:rFonts w:hint="eastAsia"/>
          <w:lang w:val="en-US"/>
        </w:rPr>
        <w:t>3</w:t>
      </w:r>
      <w:r>
        <w:rPr>
          <w:lang w:val="en-US"/>
        </w:rPr>
        <w:t>]</w:t>
      </w:r>
      <w:r>
        <w:rPr>
          <w:rFonts w:hint="eastAsia"/>
          <w:lang w:val="en-US"/>
        </w:rPr>
        <w:t>.</w:t>
      </w:r>
    </w:p>
    <w:p w14:paraId="16152B02" w14:textId="77777777" w:rsidR="00097C63" w:rsidRDefault="00FB6D14">
      <w:pPr>
        <w:pStyle w:val="tekstgowny"/>
        <w:rPr>
          <w:lang w:val="en-US"/>
        </w:rPr>
      </w:pPr>
      <w:r>
        <w:rPr>
          <w:lang w:val="en-US"/>
        </w:rPr>
        <w:t xml:space="preserve">Due to the scarcity of failure data for high-reliability products, traditional reliability assessment methods based on failure time are often inadequate. In this context, </w:t>
      </w:r>
      <w:r>
        <w:rPr>
          <w:rFonts w:hint="eastAsia"/>
          <w:lang w:val="en-US"/>
        </w:rPr>
        <w:t>c</w:t>
      </w:r>
      <w:r>
        <w:rPr>
          <w:lang w:val="en-US"/>
        </w:rPr>
        <w:t>ondition-</w:t>
      </w:r>
      <w:r>
        <w:rPr>
          <w:rFonts w:hint="eastAsia"/>
          <w:lang w:val="en-US"/>
        </w:rPr>
        <w:t>b</w:t>
      </w:r>
      <w:r>
        <w:rPr>
          <w:lang w:val="en-US"/>
        </w:rPr>
        <w:t>ased maintenance (CBM) strategies have emerged as a novel solution for maintaining such products. The feasibility of CBM strategies stems from breakthrough advancements in modern sensing and IoT technologies, which enable real-time monitoring and analysis of system operational parameters, thereby achieving precise maintenance timing [</w:t>
      </w:r>
      <w:r>
        <w:rPr>
          <w:rFonts w:hint="eastAsia"/>
          <w:lang w:val="en-US"/>
        </w:rPr>
        <w:t>4</w:t>
      </w:r>
      <w:r>
        <w:rPr>
          <w:lang w:val="en-US"/>
        </w:rPr>
        <w:t>]</w:t>
      </w:r>
      <w:r>
        <w:rPr>
          <w:rFonts w:hint="eastAsia"/>
          <w:lang w:val="en-US"/>
        </w:rPr>
        <w:t xml:space="preserve">. </w:t>
      </w:r>
      <w:r>
        <w:rPr>
          <w:lang w:val="en-US"/>
        </w:rPr>
        <w:t>Practical evidence demonstrates that CBM strategies can significantly improve equipment utilization efficiency</w:t>
      </w:r>
      <w:r>
        <w:rPr>
          <w:rFonts w:hint="eastAsia"/>
          <w:lang w:val="en-US"/>
        </w:rPr>
        <w:t>,</w:t>
      </w:r>
      <w:r>
        <w:rPr>
          <w:lang w:val="en-US"/>
        </w:rPr>
        <w:t xml:space="preserve"> ensur</w:t>
      </w:r>
      <w:r>
        <w:rPr>
          <w:rFonts w:hint="eastAsia"/>
          <w:lang w:val="en-US"/>
        </w:rPr>
        <w:t>e</w:t>
      </w:r>
      <w:r>
        <w:rPr>
          <w:lang w:val="en-US"/>
        </w:rPr>
        <w:t xml:space="preserve"> system reliability</w:t>
      </w:r>
      <w:r>
        <w:rPr>
          <w:rFonts w:hint="eastAsia"/>
          <w:lang w:val="en-US"/>
        </w:rPr>
        <w:t xml:space="preserve">, </w:t>
      </w:r>
      <w:r>
        <w:rPr>
          <w:lang w:val="en-US"/>
        </w:rPr>
        <w:t>and effectively reduc</w:t>
      </w:r>
      <w:r>
        <w:rPr>
          <w:rFonts w:hint="eastAsia"/>
          <w:lang w:val="en-US"/>
        </w:rPr>
        <w:t>e</w:t>
      </w:r>
      <w:r>
        <w:rPr>
          <w:lang w:val="en-US"/>
        </w:rPr>
        <w:t xml:space="preserve"> maintenance costs. This advantage has led to their widespread adoption in industrial applications, with continuous expansion into new scenarios</w:t>
      </w:r>
      <w:r>
        <w:rPr>
          <w:rFonts w:hint="eastAsia"/>
          <w:lang w:val="en-US"/>
        </w:rPr>
        <w:t xml:space="preserve"> </w:t>
      </w:r>
      <w:r>
        <w:rPr>
          <w:lang w:val="en-US"/>
        </w:rPr>
        <w:t>[</w:t>
      </w:r>
      <w:r>
        <w:rPr>
          <w:rFonts w:hint="eastAsia"/>
          <w:lang w:val="en-US"/>
        </w:rPr>
        <w:t>5</w:t>
      </w:r>
      <w:r>
        <w:rPr>
          <w:lang w:val="en-US"/>
        </w:rPr>
        <w:t>]. However, existing research has paid little attention to the synergistic optimization between CBM strategies and PWS mechanisms</w:t>
      </w:r>
      <w:r>
        <w:rPr>
          <w:rFonts w:hint="eastAsia"/>
          <w:lang w:val="en-US"/>
        </w:rPr>
        <w:t xml:space="preserve">. </w:t>
      </w:r>
      <w:r>
        <w:rPr>
          <w:lang w:val="en-US"/>
        </w:rPr>
        <w:t>Addressing this gap, this study innovatively integrates CBM strategies with PWS mechanisms</w:t>
      </w:r>
      <w:r>
        <w:rPr>
          <w:rFonts w:hint="eastAsia"/>
          <w:lang w:val="en-US"/>
        </w:rPr>
        <w:t xml:space="preserve"> to</w:t>
      </w:r>
      <w:r>
        <w:rPr>
          <w:lang w:val="en-US"/>
        </w:rPr>
        <w:t xml:space="preserve"> optimiz</w:t>
      </w:r>
      <w:r>
        <w:rPr>
          <w:rFonts w:hint="eastAsia"/>
          <w:lang w:val="en-US"/>
        </w:rPr>
        <w:t>e</w:t>
      </w:r>
      <w:r>
        <w:rPr>
          <w:lang w:val="en-US"/>
        </w:rPr>
        <w:t xml:space="preserve"> CBM solutions within the PWS framework. The objective is to enhance system availability and increase manufacturer profitability.</w:t>
      </w:r>
      <w:r>
        <w:rPr>
          <w:rFonts w:hint="eastAsia"/>
          <w:lang w:val="en-US"/>
        </w:rPr>
        <w:t xml:space="preserve"> </w:t>
      </w:r>
    </w:p>
    <w:p w14:paraId="20C40258" w14:textId="77777777" w:rsidR="00097C63" w:rsidRDefault="00FB6D14">
      <w:pPr>
        <w:pStyle w:val="Nagwek1"/>
      </w:pPr>
      <w:r>
        <w:t xml:space="preserve">Literature </w:t>
      </w:r>
      <w:r>
        <w:rPr>
          <w:rFonts w:hint="eastAsia"/>
        </w:rPr>
        <w:t>r</w:t>
      </w:r>
      <w:r>
        <w:t>eview</w:t>
      </w:r>
    </w:p>
    <w:p w14:paraId="7E053688" w14:textId="77777777" w:rsidR="00097C63" w:rsidRDefault="00FB6D14">
      <w:pPr>
        <w:pStyle w:val="tekstgowny"/>
        <w:ind w:firstLine="0"/>
        <w:rPr>
          <w:lang w:val="en-US"/>
        </w:rPr>
      </w:pPr>
      <w:r>
        <w:rPr>
          <w:lang w:val="en-US"/>
        </w:rPr>
        <w:t xml:space="preserve">The academic community has made significant progress in performance warranty policy research, establishing a relatively comprehensive research framework. This section will systematically review existing achievements from two dimensions: theoretical research on performance warranties and </w:t>
      </w:r>
      <w:r>
        <w:rPr>
          <w:lang w:val="en-US"/>
        </w:rPr>
        <w:t>decision-making modeling for performance warranties.</w:t>
      </w:r>
    </w:p>
    <w:p w14:paraId="6925E2F0" w14:textId="77777777" w:rsidR="00097C63" w:rsidRDefault="00FB6D14">
      <w:pPr>
        <w:pStyle w:val="Nagwek2"/>
      </w:pPr>
      <w:r>
        <w:t>2.1. Theoretical research on performance warranties</w:t>
      </w:r>
    </w:p>
    <w:p w14:paraId="0D0E5963" w14:textId="77777777" w:rsidR="00097C63" w:rsidRDefault="00FB6D14">
      <w:pPr>
        <w:pStyle w:val="tekstgowny"/>
        <w:ind w:firstLine="0"/>
      </w:pPr>
      <w:r>
        <w:rPr>
          <w:rFonts w:hint="eastAsia"/>
        </w:rPr>
        <w:t>Theoretical research on performance warranties primarily focuses on four key areas: the conceptual definition of performance warranties, the design of performance warranty contracts, the evaluation of their effectiveness, and the analysis of influencing factors. These research directions collectively form the comprehensive framework of performance warranty theory, with logical relationships illustrated in Figure 1.</w:t>
      </w:r>
    </w:p>
    <w:p w14:paraId="643F2579" w14:textId="7208B866" w:rsidR="00097C63" w:rsidRDefault="006600FE">
      <w:pPr>
        <w:pStyle w:val="tekstgowny"/>
        <w:ind w:firstLine="0"/>
        <w:rPr>
          <w:color w:val="C71D31"/>
          <w:sz w:val="21"/>
          <w:szCs w:val="21"/>
          <w:lang w:val="en-US"/>
        </w:rPr>
      </w:pPr>
      <w:r>
        <w:rPr>
          <w:color w:val="C71D31"/>
          <w:sz w:val="21"/>
          <w:szCs w:val="21"/>
          <w:lang w:val="en-US"/>
        </w:rPr>
        <w:object w:dxaOrig="5106" w:dyaOrig="2058" w14:anchorId="5A5F04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5.2pt;height:118.2pt" o:ole="">
            <v:imagedata r:id="rId17" o:title=""/>
            <o:lock v:ext="edit" aspectratio="f"/>
          </v:shape>
          <o:OLEObject Type="Embed" ProgID="Visio.Drawing.11" ShapeID="_x0000_i1025" DrawAspect="Content" ObjectID="_1834073001" r:id="rId18"/>
        </w:object>
      </w:r>
    </w:p>
    <w:p w14:paraId="4720926D" w14:textId="77777777" w:rsidR="00097C63" w:rsidRDefault="00FB6D14">
      <w:pPr>
        <w:pStyle w:val="tekstgowny"/>
        <w:ind w:firstLine="0"/>
        <w:jc w:val="center"/>
      </w:pPr>
      <w:r>
        <w:t xml:space="preserve">Figure 1. </w:t>
      </w:r>
      <w:r>
        <w:rPr>
          <w:rFonts w:hint="eastAsia"/>
        </w:rPr>
        <w:t>Framework for performance warranty strategy research.</w:t>
      </w:r>
    </w:p>
    <w:p w14:paraId="24ACDD30" w14:textId="77777777" w:rsidR="00097C63" w:rsidRDefault="00FB6D14">
      <w:pPr>
        <w:pStyle w:val="tekstgowny"/>
      </w:pPr>
      <w:r>
        <w:rPr>
          <w:rFonts w:hint="eastAsia"/>
        </w:rPr>
        <w:t>Clarifying the concept of performance warranty is fundamental to advancing the implementation of this strategy. Its importance lies in helping practitioners gain an in-depth understanding of the essential characteristics of performance warranties, thereby facilitating the effective execution of this strategy. In this framework, performance indicators serve as quantitative tools for assessing service quality and effectiveness, providing objective evaluation criteria for the service quality of warranty providers [6]. Hypko et al. focused on the manufacturing sector, defining the specific connotation of performance warranties and identifying three key issues overlooked in existing research [7]. Additionally, Randall et al. conducted comparative studies and found that the theoretical framework of performance warranties aligns closely with service-dominant logic, both of which emphasize the critical roles of organizational collaboration, leadership relationships, information systems, and environmental factors [8].</w:t>
      </w:r>
    </w:p>
    <w:p w14:paraId="0767BF4F" w14:textId="77777777" w:rsidR="00097C63" w:rsidRDefault="00FB6D14">
      <w:pPr>
        <w:pStyle w:val="tekstgowny"/>
      </w:pPr>
      <w:r>
        <w:rPr>
          <w:rFonts w:hint="eastAsia"/>
        </w:rPr>
        <w:t xml:space="preserve">Performance warranty contracts serve as the core instrument for ensuring service effectiveness. Regarding domain-specific applications, Tan developed an analytical model of performance contracts in energy efficiency, examining the mechanisms by which energy-saving risks affect both suppliers and customers [9]. Addressing the challenge of quantifying performance </w:t>
      </w:r>
      <w:r>
        <w:rPr>
          <w:rFonts w:hint="eastAsia"/>
        </w:rPr>
        <w:lastRenderedPageBreak/>
        <w:t xml:space="preserve">contributions, Akkermans et al. proposed methodologies for defining, monitoring, and incentivizing performance metrics, effectively mitigating contractual execution limitations [10]. Selviaridis and Valk focused specifically on how incentive mechanisms influence supplier behavior and client relationships [11]. Additionally, Batista et al. systematically analyzed characteristic elements of performance contracts, providing theoretical guidance for military and industrial applications [12]. </w:t>
      </w:r>
    </w:p>
    <w:p w14:paraId="427E6E1E" w14:textId="77777777" w:rsidR="00097C63" w:rsidRDefault="00FB6D14">
      <w:pPr>
        <w:pStyle w:val="tekstgowny"/>
        <w:ind w:firstLine="0"/>
      </w:pPr>
      <w:r>
        <w:rPr>
          <w:rFonts w:hint="eastAsia"/>
        </w:rPr>
        <w:t>Research on the evaluation of performance warranty effectiveness aims to systematically identify the strengths and limitations of this strategy, providing a basis for informed decision-making by users. Based on actual data from aircraft engine manufacturers, researchers like Guajardo et al. conducted a comparative analysis of product reliability under time-and-materials contracts versus performance warranty contracts [13]. Hypko et al., working within the principal-agent theory framework, conducted an in-depth exploration of the benefits and risks associated with performance warranty contracts in manufacturing</w:t>
      </w:r>
      <w:r>
        <w:t xml:space="preserve"> </w:t>
      </w:r>
      <w:r>
        <w:rPr>
          <w:rFonts w:hint="eastAsia"/>
        </w:rPr>
        <w:t xml:space="preserve">[14]. Their research demonstrated that, compared to traditional sales warranty models, performance warranty mechanisms are more effective in incentivizing manufacturers to expand their customer base and enhance profitability through technological innovation. </w:t>
      </w:r>
    </w:p>
    <w:p w14:paraId="7F341D10" w14:textId="77777777" w:rsidR="00097C63" w:rsidRDefault="00FB6D14">
      <w:pPr>
        <w:pStyle w:val="tekstgowny"/>
      </w:pPr>
      <w:r>
        <w:rPr>
          <w:rFonts w:hint="eastAsia"/>
        </w:rPr>
        <w:t xml:space="preserve">Research on influencing factors of performance warranties employs empirical case studies to systematically identify critical implementation elements, providing theoretical foundations for optimizing warranty strategies. From </w:t>
      </w:r>
      <w:r>
        <w:br/>
      </w:r>
      <w:r>
        <w:rPr>
          <w:rFonts w:hint="eastAsia"/>
        </w:rPr>
        <w:t>a decision-making perspective, Schaefers et al. applied means-end chain theory to verify decision-makers' personal willingness as a critical implementation factor [15]. At the corporate practice level, Korkeamäki et al. investigated how R&amp;D investment moderates economies of scale [16]. Additionally, Shang et al. constructed a credit risk assessment model using rough set theory to analyze Chinese energy enterprises, identifying credit deficiency as a major implementation barrier exacerbated by information asymmetry [17]. These multidimensional studies collectively advance the theoretical foundation for refining PWS, offering comprehensive insights into their optimization and practical application.</w:t>
      </w:r>
    </w:p>
    <w:p w14:paraId="655EA37D" w14:textId="77777777" w:rsidR="00097C63" w:rsidRDefault="00FB6D14">
      <w:pPr>
        <w:pStyle w:val="Nagwek2"/>
      </w:pPr>
      <w:r>
        <w:t>2.2. Research on performance warranty decision modeling</w:t>
      </w:r>
    </w:p>
    <w:p w14:paraId="23F67592" w14:textId="77777777" w:rsidR="00097C63" w:rsidRDefault="00FB6D14">
      <w:pPr>
        <w:pStyle w:val="tekstgowny"/>
        <w:ind w:firstLine="0"/>
      </w:pPr>
      <w:r>
        <w:rPr>
          <w:rFonts w:hint="eastAsia"/>
        </w:rPr>
        <w:t xml:space="preserve">In the field of performance warranty decision modeling research, scholars have also conducted extensive explorations. For specialized application scenarios, Dai et al. divided the warranty period into replacement and repair zones and developed </w:t>
      </w:r>
      <w:r>
        <w:br/>
      </w:r>
      <w:r>
        <w:rPr>
          <w:rFonts w:hint="eastAsia"/>
        </w:rPr>
        <w:t xml:space="preserve">a performance-degradation model that accounts for imperfect repairs to maximize overall profitability [18]. Yang et al. introduced a two-stage preventive maintenance (PM) strategy incorporating imperfect repairs and deferred replacements, based on the delay-time model [19]. Wang et al. studied competing failure modes in single-component systems, considering the combined effects of natural degradation and random shocks [20]. Li et al. constructed a condition-oriented maintenance model for shipborne antennas and established </w:t>
      </w:r>
      <w:r>
        <w:br/>
      </w:r>
      <w:r>
        <w:rPr>
          <w:rFonts w:hint="eastAsia"/>
        </w:rPr>
        <w:t>a multi-dimensional evaluation framework [21]. In the domain of maintenance strategy optimization, Hosseinifard et al. focused on dynamic inventory optimization for suppliers [22]. Patra et al. established single and multi-period supplier performance warranty models that maximize supplier profits [23].</w:t>
      </w:r>
    </w:p>
    <w:p w14:paraId="41091E82" w14:textId="77777777" w:rsidR="00097C63" w:rsidRDefault="00FB6D14">
      <w:pPr>
        <w:pStyle w:val="tekstgowny"/>
      </w:pPr>
      <w:r>
        <w:rPr>
          <w:rFonts w:hint="eastAsia"/>
        </w:rPr>
        <w:t xml:space="preserve">Although significant progress has been made in PWS research, several pressing gaps remain. First, existing research has mainly focused on developing theoretical frameworks, with a lack of specific warranty decision-making methods to support practical applications, thereby seriously restricting the implementation of PWS [24]. Second, the few studies that have used optimization to model warranty decisions have primarily adopted a regular maintenance model based on fixed-interval inspections [25], whereas research on differentiated settings for the </w:t>
      </w:r>
      <w:r>
        <w:t>initial</w:t>
      </w:r>
      <w:r>
        <w:rPr>
          <w:rFonts w:hint="eastAsia"/>
        </w:rPr>
        <w:t xml:space="preserve"> inspection interval and subsequent intervals is relatively scarce. Given the characteristics of the early stages of system degradation, where the probability of exceeding the PM threshold is low, setting a longer </w:t>
      </w:r>
      <w:r>
        <w:t>initial</w:t>
      </w:r>
      <w:r>
        <w:rPr>
          <w:rFonts w:hint="eastAsia"/>
        </w:rPr>
        <w:t xml:space="preserve"> inspection interval can reduce inspection frequency, thereby lower warranty costs, and reduce downtime, thereby increasing equipment availability. Finally, existing literature has not paid sufficient attention to the design of incentive and penalty mechanisms in performance warranties. By constructing a profit function that includes incentive and penalty measures, manufacturers can be effectively guided to focus on warranty performance, thereby achieving profit improvement. </w:t>
      </w:r>
    </w:p>
    <w:p w14:paraId="369A32B0" w14:textId="77777777" w:rsidR="00097C63" w:rsidRDefault="00FB6D14">
      <w:pPr>
        <w:pStyle w:val="Nagwek1"/>
      </w:pPr>
      <w:r>
        <w:rPr>
          <w:rFonts w:hint="eastAsia"/>
        </w:rPr>
        <w:lastRenderedPageBreak/>
        <w:t>Problem description</w:t>
      </w:r>
    </w:p>
    <w:p w14:paraId="15AC7C77" w14:textId="77777777" w:rsidR="00097C63" w:rsidRDefault="00FB6D14">
      <w:pPr>
        <w:pStyle w:val="tekstgowny"/>
        <w:ind w:firstLine="0"/>
        <w:rPr>
          <w:lang w:val="en-US"/>
        </w:rPr>
      </w:pPr>
      <w:r>
        <w:rPr>
          <w:lang w:val="en-US"/>
        </w:rPr>
        <w:t>The degradation process of equipment status has significant stochastic characteristics. Describing its uncertainty using stochastic process theory is an effective method. Commonly used stochastic degradation processes include the Wiener, Gamma, Gaussian, and Inverse Gaussian (IG) distributions. Among them, the Wiener and Gaussian distributions are more suitable for describing non-monotonic degradation paths, while the Gamma and IG distributions are better suited for monotonic degradation paths. Compared with the Gamma distribution, the IG distribution has a more rigorous mathematical foundation when describing first-passage-time problems, such as the first failure time of equipment. The IG distribution is often used in the study of equipment life and reliability and can effectively model and analyze product failure times. This paper focuses on a repairable degradation system whose cumulative degradation process has non-negative increments and is strictly monotonically increasing. Therefore, the IG distribution is selected to describe the system's degradation process.</w:t>
      </w:r>
    </w:p>
    <w:p w14:paraId="018D3201" w14:textId="77777777" w:rsidR="00097C63" w:rsidRDefault="00FB6D14">
      <w:pPr>
        <w:pStyle w:val="tekstgowny"/>
        <w:rPr>
          <w:lang w:val="en-US"/>
        </w:rPr>
      </w:pPr>
      <w:r>
        <w:rPr>
          <w:lang w:val="en-US"/>
        </w:rPr>
        <w:t>This study employs a method that combines the CBM strategy with a performance warranty. The PWS is implemented under the constraints of the contract signed between the manufacturer and the user. The manufacturer is required to conduct preventive inspections and carry out corresponding PM and corrective maintenance (CM) activities during the warranty period. The research aims to determine the optimal initial inspection interval, subsequent inspection intervals, and PM threshold to maximize the manufacturer's performance warranty profit. The relevant notations and fundamental assumptions are shown in Table 1.</w:t>
      </w:r>
    </w:p>
    <w:p w14:paraId="410036AC" w14:textId="77777777" w:rsidR="00097C63" w:rsidRDefault="00FB6D14">
      <w:pPr>
        <w:pStyle w:val="tekstgowny"/>
      </w:pPr>
      <w:r>
        <w:rPr>
          <w:rFonts w:hint="eastAsia"/>
        </w:rPr>
        <w:t>(</w:t>
      </w:r>
      <w:r>
        <w:t xml:space="preserve">1) The system's condition </w:t>
      </w:r>
      <w:r>
        <w:rPr>
          <w:rFonts w:hint="eastAsia"/>
        </w:rPr>
        <w:t>inspection</w:t>
      </w:r>
      <w:r>
        <w:t xml:space="preserve"> is non-destructive and very quick, during which the system's performance degradation is negligible.  </w:t>
      </w:r>
    </w:p>
    <w:p w14:paraId="403E3F99" w14:textId="77777777" w:rsidR="00097C63" w:rsidRDefault="00FB6D14">
      <w:pPr>
        <w:pStyle w:val="tekstgowny"/>
      </w:pPr>
      <w:r>
        <w:rPr>
          <w:rFonts w:hint="eastAsia"/>
        </w:rPr>
        <w:t>(</w:t>
      </w:r>
      <w:r>
        <w:t>2) When the system's condition</w:t>
      </w:r>
      <w:r>
        <w:rPr>
          <w:rFonts w:hint="eastAsia"/>
        </w:rPr>
        <w:t xml:space="preserve"> </w:t>
      </w:r>
      <m:oMath>
        <m:r>
          <w:rPr>
            <w:rFonts w:ascii="Cambria Math" w:hAnsi="Cambria Math"/>
          </w:rPr>
          <m:t>L(t)&lt;</m:t>
        </m:r>
        <m:sSub>
          <m:sSubPr>
            <m:ctrlPr>
              <w:rPr>
                <w:rFonts w:ascii="Cambria Math" w:hAnsi="Cambria Math"/>
                <w:i/>
              </w:rPr>
            </m:ctrlPr>
          </m:sSubPr>
          <m:e>
            <m:r>
              <w:rPr>
                <w:rFonts w:ascii="Cambria Math" w:hAnsi="Cambria Math"/>
              </w:rPr>
              <m:t>h</m:t>
            </m:r>
          </m:e>
          <m:sub>
            <m:r>
              <w:rPr>
                <w:rFonts w:ascii="Cambria Math" w:hAnsi="Cambria Math"/>
              </w:rPr>
              <m:t>p</m:t>
            </m:r>
          </m:sub>
        </m:sSub>
      </m:oMath>
      <w:r>
        <w:t xml:space="preserve"> is satisfied, the system will continue to operate until the next </w:t>
      </w:r>
      <w:r>
        <w:rPr>
          <w:rFonts w:hint="eastAsia"/>
        </w:rPr>
        <w:t>inspection</w:t>
      </w:r>
      <w:r>
        <w:t xml:space="preserve">.  </w:t>
      </w:r>
    </w:p>
    <w:p w14:paraId="2F1AA5A1" w14:textId="77777777" w:rsidR="00097C63" w:rsidRDefault="00FB6D14">
      <w:pPr>
        <w:pStyle w:val="tekstgowny"/>
      </w:pPr>
      <w:r>
        <w:rPr>
          <w:rFonts w:hint="eastAsia"/>
        </w:rPr>
        <w:t>(</w:t>
      </w:r>
      <w:r>
        <w:t>3) When the system's condition</w:t>
      </w:r>
      <w:r>
        <w:rPr>
          <w:rFonts w:hint="eastAsia"/>
        </w:rPr>
        <w:t xml:space="preserve"> </w:t>
      </w:r>
      <m:oMath>
        <m:sSub>
          <m:sSubPr>
            <m:ctrlPr>
              <w:rPr>
                <w:rFonts w:ascii="Cambria Math" w:hAnsi="Cambria Math"/>
                <w:i/>
              </w:rPr>
            </m:ctrlPr>
          </m:sSubPr>
          <m:e>
            <m:r>
              <w:rPr>
                <w:rFonts w:ascii="Cambria Math" w:hAnsi="Cambria Math"/>
              </w:rPr>
              <m:t>h</m:t>
            </m:r>
          </m:e>
          <m:sub>
            <m:r>
              <w:rPr>
                <w:rFonts w:ascii="Cambria Math" w:hAnsi="Cambria Math"/>
              </w:rPr>
              <m:t>p</m:t>
            </m:r>
          </m:sub>
        </m:sSub>
        <m:r>
          <w:rPr>
            <w:rFonts w:ascii="Cambria Math" w:hAnsi="Cambria Math"/>
          </w:rPr>
          <m:t>&lt;L(t)&lt;</m:t>
        </m:r>
        <m:sSub>
          <m:sSubPr>
            <m:ctrlPr>
              <w:rPr>
                <w:rFonts w:ascii="Cambria Math" w:hAnsi="Cambria Math"/>
                <w:i/>
              </w:rPr>
            </m:ctrlPr>
          </m:sSubPr>
          <m:e>
            <m:r>
              <w:rPr>
                <w:rFonts w:ascii="Cambria Math" w:hAnsi="Cambria Math"/>
              </w:rPr>
              <m:t>h</m:t>
            </m:r>
          </m:e>
          <m:sub>
            <m:r>
              <w:rPr>
                <w:rFonts w:ascii="Cambria Math" w:hAnsi="Cambria Math"/>
              </w:rPr>
              <m:t>f</m:t>
            </m:r>
          </m:sub>
        </m:sSub>
      </m:oMath>
      <w:r>
        <w:rPr>
          <w:rFonts w:hint="eastAsia"/>
        </w:rPr>
        <w:t xml:space="preserve"> </w:t>
      </w:r>
      <w:r>
        <w:t xml:space="preserve">reaches the </w:t>
      </w:r>
      <w:r>
        <w:rPr>
          <w:rFonts w:hint="eastAsia"/>
        </w:rPr>
        <w:t>PM</w:t>
      </w:r>
      <w:r>
        <w:t xml:space="preserve"> threshold, </w:t>
      </w:r>
      <w:r>
        <w:rPr>
          <w:rFonts w:hint="eastAsia"/>
        </w:rPr>
        <w:t>PM</w:t>
      </w:r>
      <w:r>
        <w:t xml:space="preserve"> will be implemented. The maintenance effect is described using a (</w:t>
      </w:r>
      <w:r>
        <w:rPr>
          <w:i/>
          <w:iCs/>
        </w:rPr>
        <w:t>p, q</w:t>
      </w:r>
      <w:r>
        <w:t>) model, where</w:t>
      </w:r>
      <w:r>
        <w:rPr>
          <w:rFonts w:hint="eastAsia"/>
        </w:rPr>
        <w:t xml:space="preserve"> </w:t>
      </w:r>
      <w:r>
        <w:rPr>
          <w:i/>
          <w:iCs/>
        </w:rPr>
        <w:t>p</w:t>
      </w:r>
      <w:r>
        <w:rPr>
          <w:rFonts w:hint="eastAsia"/>
        </w:rPr>
        <w:t xml:space="preserve"> </w:t>
      </w:r>
      <w:r>
        <w:t xml:space="preserve">represents the probability of </w:t>
      </w:r>
      <w:r>
        <w:rPr>
          <w:rFonts w:hint="eastAsia"/>
        </w:rPr>
        <w:t xml:space="preserve">the </w:t>
      </w:r>
      <w:r>
        <w:t>system being restored to "as good as new",</w:t>
      </w:r>
      <w:r>
        <w:rPr>
          <w:rFonts w:hint="eastAsia"/>
        </w:rPr>
        <w:t xml:space="preserve"> </w:t>
      </w:r>
      <w:r>
        <w:t>and</w:t>
      </w:r>
      <w:r>
        <w:rPr>
          <w:rFonts w:hint="eastAsia"/>
        </w:rPr>
        <w:t xml:space="preserve"> </w:t>
      </w:r>
      <w:r>
        <w:t>"</w:t>
      </w:r>
      <w:r>
        <w:rPr>
          <w:i/>
          <w:iCs/>
        </w:rPr>
        <w:t>q</w:t>
      </w:r>
      <w:r>
        <w:t>=</w:t>
      </w:r>
      <w:r>
        <w:rPr>
          <w:rFonts w:hint="eastAsia"/>
        </w:rPr>
        <w:t>1-</w:t>
      </w:r>
      <w:r>
        <w:rPr>
          <w:rFonts w:hint="eastAsia"/>
          <w:i/>
          <w:iCs/>
        </w:rPr>
        <w:t>p</w:t>
      </w:r>
      <w:r>
        <w:t>"</w:t>
      </w:r>
      <w:r>
        <w:rPr>
          <w:rFonts w:hint="eastAsia"/>
        </w:rPr>
        <w:t xml:space="preserve"> </w:t>
      </w:r>
      <w:r>
        <w:t xml:space="preserve">represents the probability of </w:t>
      </w:r>
      <w:r>
        <w:rPr>
          <w:rFonts w:hint="eastAsia"/>
        </w:rPr>
        <w:t xml:space="preserve">the </w:t>
      </w:r>
      <w:r>
        <w:t xml:space="preserve">system remaining in its current state.  </w:t>
      </w:r>
    </w:p>
    <w:p w14:paraId="2C50CB2F" w14:textId="77777777" w:rsidR="00097C63" w:rsidRDefault="00FB6D14">
      <w:pPr>
        <w:pStyle w:val="tekstgowny"/>
      </w:pPr>
      <w:r>
        <w:rPr>
          <w:rFonts w:hint="eastAsia"/>
        </w:rPr>
        <w:t>(</w:t>
      </w:r>
      <w:r>
        <w:t>4) When the system's condition</w:t>
      </w:r>
      <m:oMath>
        <m:r>
          <w:rPr>
            <w:rFonts w:ascii="Cambria Math" w:hAnsi="Cambria Math"/>
          </w:rPr>
          <m:t>L(t)&gt;</m:t>
        </m:r>
        <m:sSub>
          <m:sSubPr>
            <m:ctrlPr>
              <w:rPr>
                <w:rFonts w:ascii="Cambria Math" w:hAnsi="Cambria Math"/>
                <w:i/>
              </w:rPr>
            </m:ctrlPr>
          </m:sSubPr>
          <m:e>
            <m:r>
              <w:rPr>
                <w:rFonts w:ascii="Cambria Math" w:hAnsi="Cambria Math"/>
              </w:rPr>
              <m:t>h</m:t>
            </m:r>
          </m:e>
          <m:sub>
            <m:r>
              <w:rPr>
                <w:rFonts w:ascii="Cambria Math" w:hAnsi="Cambria Math"/>
              </w:rPr>
              <m:t>f</m:t>
            </m:r>
          </m:sub>
        </m:sSub>
      </m:oMath>
      <w:r>
        <w:t xml:space="preserve">reaches the failure </w:t>
      </w:r>
      <w:r>
        <w:t xml:space="preserve">threshold, a failure will occur and </w:t>
      </w:r>
      <w:r>
        <w:rPr>
          <w:rFonts w:hint="eastAsia"/>
        </w:rPr>
        <w:t>the CM</w:t>
      </w:r>
      <w:r>
        <w:t xml:space="preserve"> will be implemented, which can fully restore the system to "as good as new".  </w:t>
      </w:r>
    </w:p>
    <w:p w14:paraId="20C170C8" w14:textId="77777777" w:rsidR="00097C63" w:rsidRDefault="00FB6D14">
      <w:pPr>
        <w:pStyle w:val="tekstgowny"/>
      </w:pPr>
      <w:r>
        <w:rPr>
          <w:rFonts w:hint="eastAsia"/>
        </w:rPr>
        <w:t>(</w:t>
      </w:r>
      <w:r>
        <w:t xml:space="preserve">5) System failures have a hidden characteristic and can only be identified and confirmed through </w:t>
      </w:r>
      <w:r>
        <w:rPr>
          <w:rFonts w:hint="eastAsia"/>
        </w:rPr>
        <w:t>inspection</w:t>
      </w:r>
      <w:r>
        <w:t xml:space="preserve">.  </w:t>
      </w:r>
    </w:p>
    <w:p w14:paraId="517598D5" w14:textId="77777777" w:rsidR="00097C63" w:rsidRDefault="00FB6D14">
      <w:pPr>
        <w:pStyle w:val="tekstgowny"/>
        <w:ind w:firstLine="0"/>
        <w:rPr>
          <w:lang w:val="en-US"/>
        </w:rPr>
      </w:pPr>
      <w:r>
        <w:rPr>
          <w:lang w:val="en-US"/>
        </w:rPr>
        <w:t>Table 1. The relevant notations and basic assumptions</w:t>
      </w:r>
      <w:r>
        <w:rPr>
          <w:rFonts w:hint="eastAsia"/>
          <w:lang w:val="en-US"/>
        </w:rPr>
        <w:t>.</w:t>
      </w:r>
    </w:p>
    <w:tbl>
      <w:tblPr>
        <w:tblStyle w:val="Tabela-Siatka"/>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957"/>
      </w:tblGrid>
      <w:tr w:rsidR="00097C63" w14:paraId="04704796" w14:textId="77777777">
        <w:trPr>
          <w:trHeight w:val="64"/>
          <w:jc w:val="center"/>
        </w:trPr>
        <w:tc>
          <w:tcPr>
            <w:tcW w:w="1123" w:type="pct"/>
          </w:tcPr>
          <w:p w14:paraId="61628B64"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W</w:t>
            </w:r>
          </w:p>
        </w:tc>
        <w:tc>
          <w:tcPr>
            <w:tcW w:w="3877" w:type="pct"/>
          </w:tcPr>
          <w:p w14:paraId="1C8A65CE"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Performance warranty period</w:t>
            </w:r>
          </w:p>
        </w:tc>
      </w:tr>
      <w:tr w:rsidR="00097C63" w14:paraId="17E2E7B9" w14:textId="77777777">
        <w:trPr>
          <w:trHeight w:val="64"/>
          <w:jc w:val="center"/>
        </w:trPr>
        <w:tc>
          <w:tcPr>
            <w:tcW w:w="1123" w:type="pct"/>
          </w:tcPr>
          <w:p w14:paraId="6276FE5C" w14:textId="77777777" w:rsidR="00097C63" w:rsidRDefault="00FB6D14">
            <w:pPr>
              <w:wordWrap w:val="0"/>
              <w:ind w:right="14"/>
              <w:jc w:val="center"/>
              <w:rPr>
                <w:rFonts w:ascii="Times New Roman" w:hAnsi="Times New Roman"/>
                <w:color w:val="000000" w:themeColor="text1"/>
                <w:position w:val="-12"/>
                <w:sz w:val="18"/>
                <w:szCs w:val="18"/>
              </w:rPr>
            </w:pPr>
            <m:oMathPara>
              <m:oMath>
                <m:sSub>
                  <m:sSubPr>
                    <m:ctrlPr>
                      <w:rPr>
                        <w:rFonts w:ascii="Cambria Math" w:hAnsi="Cambria Math"/>
                        <w:i/>
                        <w:color w:val="000000" w:themeColor="text1"/>
                        <w:sz w:val="18"/>
                        <w:szCs w:val="18"/>
                      </w:rPr>
                    </m:ctrlPr>
                  </m:sSubPr>
                  <m:e>
                    <m:r>
                      <w:rPr>
                        <w:rFonts w:ascii="Cambria Math" w:hAnsi="Cambria Math"/>
                        <w:color w:val="000000" w:themeColor="text1"/>
                        <w:sz w:val="18"/>
                        <w:szCs w:val="18"/>
                      </w:rPr>
                      <m:t>h</m:t>
                    </m:r>
                  </m:e>
                  <m:sub>
                    <m:r>
                      <w:rPr>
                        <w:rFonts w:ascii="Cambria Math" w:hAnsi="Cambria Math"/>
                        <w:color w:val="000000" w:themeColor="text1"/>
                        <w:sz w:val="18"/>
                        <w:szCs w:val="18"/>
                      </w:rPr>
                      <m:t>p</m:t>
                    </m:r>
                  </m:sub>
                </m:sSub>
              </m:oMath>
            </m:oMathPara>
          </w:p>
        </w:tc>
        <w:tc>
          <w:tcPr>
            <w:tcW w:w="3877" w:type="pct"/>
          </w:tcPr>
          <w:p w14:paraId="0A090A75"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PM threshold</w:t>
            </w:r>
          </w:p>
        </w:tc>
      </w:tr>
      <w:tr w:rsidR="00097C63" w14:paraId="71A963EF" w14:textId="77777777">
        <w:trPr>
          <w:trHeight w:val="64"/>
          <w:jc w:val="center"/>
        </w:trPr>
        <w:tc>
          <w:tcPr>
            <w:tcW w:w="1123" w:type="pct"/>
          </w:tcPr>
          <w:p w14:paraId="76E0670A" w14:textId="77777777" w:rsidR="00097C63" w:rsidRDefault="00FB6D14">
            <w:pPr>
              <w:wordWrap w:val="0"/>
              <w:ind w:right="14"/>
              <w:jc w:val="center"/>
              <w:rPr>
                <w:rFonts w:ascii="Times New Roman" w:hAnsi="Times New Roman"/>
                <w:color w:val="000000" w:themeColor="text1"/>
                <w:position w:val="-12"/>
                <w:sz w:val="18"/>
                <w:szCs w:val="18"/>
              </w:rPr>
            </w:pPr>
            <m:oMathPara>
              <m:oMath>
                <m:sSub>
                  <m:sSubPr>
                    <m:ctrlPr>
                      <w:rPr>
                        <w:rFonts w:ascii="Cambria Math" w:hAnsi="Cambria Math"/>
                        <w:i/>
                        <w:color w:val="000000" w:themeColor="text1"/>
                        <w:sz w:val="18"/>
                        <w:szCs w:val="18"/>
                      </w:rPr>
                    </m:ctrlPr>
                  </m:sSubPr>
                  <m:e>
                    <m:r>
                      <w:rPr>
                        <w:rFonts w:ascii="Cambria Math" w:hAnsi="Cambria Math"/>
                        <w:color w:val="000000" w:themeColor="text1"/>
                        <w:sz w:val="18"/>
                        <w:szCs w:val="18"/>
                      </w:rPr>
                      <m:t>h</m:t>
                    </m:r>
                  </m:e>
                  <m:sub>
                    <m:r>
                      <w:rPr>
                        <w:rFonts w:ascii="Cambria Math" w:hAnsi="Cambria Math"/>
                        <w:color w:val="000000" w:themeColor="text1"/>
                        <w:sz w:val="18"/>
                        <w:szCs w:val="18"/>
                      </w:rPr>
                      <m:t>f</m:t>
                    </m:r>
                  </m:sub>
                </m:sSub>
              </m:oMath>
            </m:oMathPara>
          </w:p>
        </w:tc>
        <w:tc>
          <w:tcPr>
            <w:tcW w:w="3877" w:type="pct"/>
          </w:tcPr>
          <w:p w14:paraId="19DDEBBD"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Failure threshold</w:t>
            </w:r>
          </w:p>
        </w:tc>
      </w:tr>
      <w:tr w:rsidR="00097C63" w14:paraId="309949C8" w14:textId="77777777">
        <w:trPr>
          <w:trHeight w:val="64"/>
          <w:jc w:val="center"/>
        </w:trPr>
        <w:tc>
          <w:tcPr>
            <w:tcW w:w="1123" w:type="pct"/>
          </w:tcPr>
          <w:p w14:paraId="0A6BC376" w14:textId="77777777" w:rsidR="00097C63" w:rsidRDefault="00FB6D14">
            <w:pPr>
              <w:wordWrap w:val="0"/>
              <w:ind w:right="14"/>
              <w:jc w:val="center"/>
              <w:rPr>
                <w:rFonts w:ascii="Times New Roman" w:hAnsi="Times New Roman"/>
                <w:color w:val="000000" w:themeColor="text1"/>
                <w:position w:val="-12"/>
                <w:sz w:val="18"/>
                <w:szCs w:val="18"/>
              </w:rPr>
            </w:pPr>
            <m:oMathPara>
              <m:oMath>
                <m:r>
                  <w:rPr>
                    <w:rFonts w:ascii="Cambria Math" w:hAnsi="Cambria Math"/>
                    <w:color w:val="000000" w:themeColor="text1"/>
                    <w:sz w:val="18"/>
                    <w:szCs w:val="18"/>
                  </w:rPr>
                  <m:t>L(t)</m:t>
                </m:r>
              </m:oMath>
            </m:oMathPara>
          </w:p>
        </w:tc>
        <w:tc>
          <w:tcPr>
            <w:tcW w:w="3877" w:type="pct"/>
          </w:tcPr>
          <w:p w14:paraId="63362E40"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Degradation path of equipment condition over time</w:t>
            </w:r>
          </w:p>
        </w:tc>
      </w:tr>
      <w:tr w:rsidR="00097C63" w14:paraId="32AF04EE" w14:textId="77777777">
        <w:trPr>
          <w:trHeight w:val="64"/>
          <w:jc w:val="center"/>
        </w:trPr>
        <w:tc>
          <w:tcPr>
            <w:tcW w:w="1123" w:type="pct"/>
          </w:tcPr>
          <w:p w14:paraId="03B05327"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C</w:t>
            </w:r>
            <w:r>
              <w:rPr>
                <w:rFonts w:ascii="Times New Roman" w:hAnsi="Times New Roman"/>
                <w:i/>
                <w:iCs/>
                <w:color w:val="000000" w:themeColor="text1"/>
                <w:sz w:val="18"/>
                <w:szCs w:val="18"/>
                <w:vertAlign w:val="subscript"/>
              </w:rPr>
              <w:t>p</w:t>
            </w:r>
          </w:p>
        </w:tc>
        <w:tc>
          <w:tcPr>
            <w:tcW w:w="3877" w:type="pct"/>
          </w:tcPr>
          <w:p w14:paraId="1E72BC50"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Cost of a single PM</w:t>
            </w:r>
          </w:p>
        </w:tc>
      </w:tr>
      <w:tr w:rsidR="00097C63" w14:paraId="18051115" w14:textId="77777777">
        <w:trPr>
          <w:trHeight w:val="64"/>
          <w:jc w:val="center"/>
        </w:trPr>
        <w:tc>
          <w:tcPr>
            <w:tcW w:w="1123" w:type="pct"/>
          </w:tcPr>
          <w:p w14:paraId="7F5CFD51"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C</w:t>
            </w:r>
            <w:r>
              <w:rPr>
                <w:rFonts w:ascii="Times New Roman" w:hAnsi="Times New Roman"/>
                <w:i/>
                <w:iCs/>
                <w:color w:val="000000" w:themeColor="text1"/>
                <w:sz w:val="18"/>
                <w:szCs w:val="18"/>
                <w:vertAlign w:val="subscript"/>
              </w:rPr>
              <w:t>c</w:t>
            </w:r>
          </w:p>
        </w:tc>
        <w:tc>
          <w:tcPr>
            <w:tcW w:w="3877" w:type="pct"/>
          </w:tcPr>
          <w:p w14:paraId="2D6F0AFB"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Cost of a single CM</w:t>
            </w:r>
          </w:p>
        </w:tc>
      </w:tr>
      <w:tr w:rsidR="00097C63" w14:paraId="542C3339" w14:textId="77777777">
        <w:trPr>
          <w:trHeight w:val="64"/>
          <w:jc w:val="center"/>
        </w:trPr>
        <w:tc>
          <w:tcPr>
            <w:tcW w:w="1123" w:type="pct"/>
          </w:tcPr>
          <w:p w14:paraId="156D1A90"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T</w:t>
            </w:r>
            <w:r>
              <w:rPr>
                <w:rFonts w:ascii="Times New Roman" w:hAnsi="Times New Roman"/>
                <w:i/>
                <w:iCs/>
                <w:color w:val="000000" w:themeColor="text1"/>
                <w:sz w:val="18"/>
                <w:szCs w:val="18"/>
                <w:vertAlign w:val="subscript"/>
              </w:rPr>
              <w:t>p</w:t>
            </w:r>
          </w:p>
        </w:tc>
        <w:tc>
          <w:tcPr>
            <w:tcW w:w="3877" w:type="pct"/>
          </w:tcPr>
          <w:p w14:paraId="15A0C82D"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Time required for a single PM</w:t>
            </w:r>
          </w:p>
        </w:tc>
      </w:tr>
      <w:tr w:rsidR="00097C63" w14:paraId="7A2DC975" w14:textId="77777777">
        <w:trPr>
          <w:trHeight w:val="64"/>
          <w:jc w:val="center"/>
        </w:trPr>
        <w:tc>
          <w:tcPr>
            <w:tcW w:w="1123" w:type="pct"/>
          </w:tcPr>
          <w:p w14:paraId="3EB5F97C"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T</w:t>
            </w:r>
            <w:r>
              <w:rPr>
                <w:rFonts w:ascii="Times New Roman" w:hAnsi="Times New Roman"/>
                <w:i/>
                <w:iCs/>
                <w:color w:val="000000" w:themeColor="text1"/>
                <w:sz w:val="18"/>
                <w:szCs w:val="18"/>
                <w:vertAlign w:val="subscript"/>
              </w:rPr>
              <w:t>c</w:t>
            </w:r>
          </w:p>
        </w:tc>
        <w:tc>
          <w:tcPr>
            <w:tcW w:w="3877" w:type="pct"/>
          </w:tcPr>
          <w:p w14:paraId="6630D379"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Time required for a single CM</w:t>
            </w:r>
          </w:p>
        </w:tc>
      </w:tr>
      <w:tr w:rsidR="00097C63" w14:paraId="443C31F4" w14:textId="77777777">
        <w:trPr>
          <w:trHeight w:val="64"/>
          <w:jc w:val="center"/>
        </w:trPr>
        <w:tc>
          <w:tcPr>
            <w:tcW w:w="1123" w:type="pct"/>
          </w:tcPr>
          <w:p w14:paraId="49967B0C"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C</w:t>
            </w:r>
            <w:r>
              <w:rPr>
                <w:rFonts w:ascii="Times New Roman" w:hAnsi="Times New Roman"/>
                <w:i/>
                <w:iCs/>
                <w:color w:val="000000" w:themeColor="text1"/>
                <w:sz w:val="18"/>
                <w:szCs w:val="18"/>
                <w:vertAlign w:val="subscript"/>
              </w:rPr>
              <w:t>j</w:t>
            </w:r>
          </w:p>
        </w:tc>
        <w:tc>
          <w:tcPr>
            <w:tcW w:w="3877" w:type="pct"/>
          </w:tcPr>
          <w:p w14:paraId="2CFB6AC7"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Cost of a single inspection</w:t>
            </w:r>
          </w:p>
        </w:tc>
      </w:tr>
      <w:tr w:rsidR="00097C63" w14:paraId="759EAC9A" w14:textId="77777777">
        <w:trPr>
          <w:trHeight w:val="64"/>
          <w:jc w:val="center"/>
        </w:trPr>
        <w:tc>
          <w:tcPr>
            <w:tcW w:w="1123" w:type="pct"/>
          </w:tcPr>
          <w:p w14:paraId="5455396D"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T</w:t>
            </w:r>
            <w:r>
              <w:rPr>
                <w:rFonts w:ascii="Times New Roman" w:hAnsi="Times New Roman"/>
                <w:i/>
                <w:iCs/>
                <w:color w:val="000000" w:themeColor="text1"/>
                <w:sz w:val="18"/>
                <w:szCs w:val="18"/>
                <w:vertAlign w:val="subscript"/>
              </w:rPr>
              <w:t>j</w:t>
            </w:r>
          </w:p>
        </w:tc>
        <w:tc>
          <w:tcPr>
            <w:tcW w:w="3877" w:type="pct"/>
          </w:tcPr>
          <w:p w14:paraId="6488F7FE"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Time required for a single inspectio</w:t>
            </w:r>
          </w:p>
        </w:tc>
      </w:tr>
      <w:tr w:rsidR="00097C63" w14:paraId="5001312F" w14:textId="77777777">
        <w:trPr>
          <w:trHeight w:val="64"/>
          <w:jc w:val="center"/>
        </w:trPr>
        <w:tc>
          <w:tcPr>
            <w:tcW w:w="1123" w:type="pct"/>
          </w:tcPr>
          <w:p w14:paraId="63508E46"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D</w:t>
            </w:r>
            <w:r>
              <w:rPr>
                <w:rFonts w:ascii="Times New Roman" w:hAnsi="Times New Roman"/>
                <w:color w:val="000000" w:themeColor="text1"/>
                <w:sz w:val="18"/>
                <w:szCs w:val="18"/>
                <w:vertAlign w:val="subscript"/>
              </w:rPr>
              <w:t>1</w:t>
            </w:r>
          </w:p>
        </w:tc>
        <w:tc>
          <w:tcPr>
            <w:tcW w:w="3877" w:type="pct"/>
          </w:tcPr>
          <w:p w14:paraId="246EF6DD"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Initial inspection interval</w:t>
            </w:r>
          </w:p>
        </w:tc>
      </w:tr>
      <w:tr w:rsidR="00097C63" w14:paraId="13E67644" w14:textId="77777777">
        <w:trPr>
          <w:trHeight w:val="64"/>
          <w:jc w:val="center"/>
        </w:trPr>
        <w:tc>
          <w:tcPr>
            <w:tcW w:w="1123" w:type="pct"/>
          </w:tcPr>
          <w:p w14:paraId="58C8BB0E"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D</w:t>
            </w:r>
          </w:p>
        </w:tc>
        <w:tc>
          <w:tcPr>
            <w:tcW w:w="3877" w:type="pct"/>
          </w:tcPr>
          <w:p w14:paraId="27BCDFE7"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Subsequent inspection interval</w:t>
            </w:r>
          </w:p>
        </w:tc>
      </w:tr>
      <w:tr w:rsidR="00097C63" w14:paraId="49986539" w14:textId="77777777">
        <w:trPr>
          <w:trHeight w:val="64"/>
          <w:jc w:val="center"/>
        </w:trPr>
        <w:tc>
          <w:tcPr>
            <w:tcW w:w="1123" w:type="pct"/>
          </w:tcPr>
          <w:p w14:paraId="0B53BDE9"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D</w:t>
            </w:r>
            <w:r>
              <w:rPr>
                <w:rFonts w:ascii="Times New Roman" w:hAnsi="Times New Roman"/>
                <w:color w:val="000000" w:themeColor="text1"/>
                <w:sz w:val="18"/>
                <w:szCs w:val="18"/>
                <w:vertAlign w:val="subscript"/>
              </w:rPr>
              <w:t>max</w:t>
            </w:r>
          </w:p>
        </w:tc>
        <w:tc>
          <w:tcPr>
            <w:tcW w:w="3877" w:type="pct"/>
          </w:tcPr>
          <w:p w14:paraId="26A957C2"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Time limit for inspection interval</w:t>
            </w:r>
          </w:p>
        </w:tc>
      </w:tr>
      <w:tr w:rsidR="00097C63" w14:paraId="66FF9C12" w14:textId="77777777">
        <w:trPr>
          <w:trHeight w:val="64"/>
          <w:jc w:val="center"/>
        </w:trPr>
        <w:tc>
          <w:tcPr>
            <w:tcW w:w="1123" w:type="pct"/>
          </w:tcPr>
          <w:p w14:paraId="76701AF0" w14:textId="77777777" w:rsidR="00097C63" w:rsidRDefault="00FB6D14">
            <w:pPr>
              <w:wordWrap w:val="0"/>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T</w:t>
            </w:r>
            <w:r>
              <w:rPr>
                <w:rFonts w:ascii="Times New Roman" w:hAnsi="Times New Roman"/>
                <w:color w:val="000000" w:themeColor="text1"/>
                <w:sz w:val="18"/>
                <w:szCs w:val="18"/>
                <w:vertAlign w:val="subscript"/>
              </w:rPr>
              <w:t>work</w:t>
            </w:r>
          </w:p>
        </w:tc>
        <w:tc>
          <w:tcPr>
            <w:tcW w:w="3877" w:type="pct"/>
          </w:tcPr>
          <w:p w14:paraId="45C66438"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Operating time of equipment within the warranty period</w:t>
            </w:r>
          </w:p>
        </w:tc>
      </w:tr>
      <w:tr w:rsidR="00097C63" w14:paraId="6776295B" w14:textId="77777777">
        <w:trPr>
          <w:trHeight w:val="64"/>
          <w:jc w:val="center"/>
        </w:trPr>
        <w:tc>
          <w:tcPr>
            <w:tcW w:w="1123" w:type="pct"/>
          </w:tcPr>
          <w:p w14:paraId="771355AC"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T</w:t>
            </w:r>
            <w:r>
              <w:rPr>
                <w:rFonts w:ascii="Times New Roman" w:hAnsi="Times New Roman"/>
                <w:color w:val="000000" w:themeColor="text1"/>
                <w:sz w:val="18"/>
                <w:szCs w:val="18"/>
                <w:vertAlign w:val="subscript"/>
              </w:rPr>
              <w:t>halt</w:t>
            </w:r>
          </w:p>
        </w:tc>
        <w:tc>
          <w:tcPr>
            <w:tcW w:w="3877" w:type="pct"/>
          </w:tcPr>
          <w:p w14:paraId="3BCAA058"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Downtime of equipment within the warranty period</w:t>
            </w:r>
          </w:p>
        </w:tc>
      </w:tr>
      <w:tr w:rsidR="00097C63" w14:paraId="41F8E36D" w14:textId="77777777">
        <w:trPr>
          <w:trHeight w:val="64"/>
          <w:jc w:val="center"/>
        </w:trPr>
        <w:tc>
          <w:tcPr>
            <w:tcW w:w="1123" w:type="pct"/>
          </w:tcPr>
          <w:p w14:paraId="3B1D7CA6"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w:t>
            </w:r>
            <w:r>
              <w:rPr>
                <w:rFonts w:ascii="Times New Roman" w:hAnsi="Times New Roman"/>
                <w:i/>
                <w:iCs/>
                <w:color w:val="000000" w:themeColor="text1"/>
                <w:sz w:val="18"/>
                <w:szCs w:val="18"/>
                <w:vertAlign w:val="subscript"/>
              </w:rPr>
              <w:t>p</w:t>
            </w:r>
            <w:r>
              <w:rPr>
                <w:rFonts w:ascii="Times New Roman" w:hAnsi="Times New Roman"/>
                <w:color w:val="000000" w:themeColor="text1"/>
                <w:sz w:val="18"/>
                <w:szCs w:val="18"/>
                <w:vertAlign w:val="subscript"/>
              </w:rPr>
              <w:t>,k</w:t>
            </w:r>
            <w:r>
              <w:rPr>
                <w:rFonts w:ascii="Times New Roman" w:hAnsi="Times New Roman"/>
                <w:color w:val="000000" w:themeColor="text1"/>
                <w:sz w:val="18"/>
                <w:szCs w:val="18"/>
              </w:rPr>
              <w:t>(</w:t>
            </w:r>
            <w:r>
              <w:rPr>
                <w:rFonts w:ascii="Times New Roman" w:hAnsi="Times New Roman"/>
                <w:i/>
                <w:iCs/>
                <w:color w:val="000000" w:themeColor="text1"/>
                <w:sz w:val="18"/>
                <w:szCs w:val="18"/>
              </w:rPr>
              <w:t>T</w:t>
            </w:r>
            <w:r>
              <w:rPr>
                <w:rFonts w:ascii="Times New Roman" w:hAnsi="Times New Roman"/>
                <w:color w:val="000000" w:themeColor="text1"/>
                <w:sz w:val="18"/>
                <w:szCs w:val="18"/>
                <w:vertAlign w:val="subscript"/>
              </w:rPr>
              <w:t>halt</w:t>
            </w:r>
            <w:r>
              <w:rPr>
                <w:rFonts w:ascii="Times New Roman" w:hAnsi="Times New Roman"/>
                <w:color w:val="000000" w:themeColor="text1"/>
                <w:sz w:val="18"/>
                <w:szCs w:val="18"/>
              </w:rPr>
              <w:t>)</w:t>
            </w:r>
          </w:p>
        </w:tc>
        <w:tc>
          <w:tcPr>
            <w:tcW w:w="3877" w:type="pct"/>
          </w:tcPr>
          <w:p w14:paraId="7543B80E"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 xml:space="preserve">Expected downtime due to PM at the </w:t>
            </w:r>
            <w:r>
              <w:rPr>
                <w:rFonts w:ascii="Times New Roman" w:hAnsi="Times New Roman"/>
                <w:i/>
                <w:iCs/>
                <w:sz w:val="18"/>
                <w:szCs w:val="18"/>
              </w:rPr>
              <w:t>k</w:t>
            </w:r>
            <w:r>
              <w:rPr>
                <w:rFonts w:ascii="Times New Roman" w:hAnsi="Times New Roman"/>
                <w:sz w:val="18"/>
                <w:szCs w:val="18"/>
              </w:rPr>
              <w:t>-th inspection</w:t>
            </w:r>
          </w:p>
        </w:tc>
      </w:tr>
      <w:tr w:rsidR="00097C63" w14:paraId="6EF0A050" w14:textId="77777777">
        <w:trPr>
          <w:trHeight w:val="64"/>
          <w:jc w:val="center"/>
        </w:trPr>
        <w:tc>
          <w:tcPr>
            <w:tcW w:w="1123" w:type="pct"/>
          </w:tcPr>
          <w:p w14:paraId="0439ADA2"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w:t>
            </w:r>
            <w:r>
              <w:rPr>
                <w:rFonts w:ascii="Times New Roman" w:hAnsi="Times New Roman"/>
                <w:i/>
                <w:iCs/>
                <w:color w:val="000000" w:themeColor="text1"/>
                <w:sz w:val="18"/>
                <w:szCs w:val="18"/>
                <w:vertAlign w:val="subscript"/>
              </w:rPr>
              <w:t>c</w:t>
            </w:r>
            <w:r>
              <w:rPr>
                <w:rFonts w:ascii="Times New Roman" w:hAnsi="Times New Roman"/>
                <w:color w:val="000000" w:themeColor="text1"/>
                <w:sz w:val="18"/>
                <w:szCs w:val="18"/>
                <w:vertAlign w:val="subscript"/>
              </w:rPr>
              <w:t>,k</w:t>
            </w:r>
            <w:r>
              <w:rPr>
                <w:rFonts w:ascii="Times New Roman" w:hAnsi="Times New Roman"/>
                <w:color w:val="000000" w:themeColor="text1"/>
                <w:sz w:val="18"/>
                <w:szCs w:val="18"/>
              </w:rPr>
              <w:t>(</w:t>
            </w:r>
            <w:r>
              <w:rPr>
                <w:rFonts w:ascii="Times New Roman" w:hAnsi="Times New Roman"/>
                <w:i/>
                <w:iCs/>
                <w:color w:val="000000" w:themeColor="text1"/>
                <w:sz w:val="18"/>
                <w:szCs w:val="18"/>
              </w:rPr>
              <w:t>T</w:t>
            </w:r>
            <w:r>
              <w:rPr>
                <w:rFonts w:ascii="Times New Roman" w:hAnsi="Times New Roman"/>
                <w:color w:val="000000" w:themeColor="text1"/>
                <w:sz w:val="18"/>
                <w:szCs w:val="18"/>
                <w:vertAlign w:val="subscript"/>
              </w:rPr>
              <w:t>halt</w:t>
            </w:r>
            <w:r>
              <w:rPr>
                <w:rFonts w:ascii="Times New Roman" w:hAnsi="Times New Roman"/>
                <w:color w:val="000000" w:themeColor="text1"/>
                <w:sz w:val="18"/>
                <w:szCs w:val="18"/>
              </w:rPr>
              <w:t>)</w:t>
            </w:r>
          </w:p>
        </w:tc>
        <w:tc>
          <w:tcPr>
            <w:tcW w:w="3877" w:type="pct"/>
          </w:tcPr>
          <w:p w14:paraId="33C6DBF2"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 xml:space="preserve">Expected downtime due to CM at the </w:t>
            </w:r>
            <w:r>
              <w:rPr>
                <w:rFonts w:ascii="Times New Roman" w:hAnsi="Times New Roman"/>
                <w:i/>
                <w:iCs/>
                <w:sz w:val="18"/>
                <w:szCs w:val="18"/>
              </w:rPr>
              <w:t>k</w:t>
            </w:r>
            <w:r>
              <w:rPr>
                <w:rFonts w:ascii="Times New Roman" w:hAnsi="Times New Roman"/>
                <w:sz w:val="18"/>
                <w:szCs w:val="18"/>
              </w:rPr>
              <w:t>-th inspection</w:t>
            </w:r>
          </w:p>
        </w:tc>
      </w:tr>
      <w:tr w:rsidR="00097C63" w14:paraId="536E61B6" w14:textId="77777777">
        <w:trPr>
          <w:trHeight w:val="64"/>
          <w:jc w:val="center"/>
        </w:trPr>
        <w:tc>
          <w:tcPr>
            <w:tcW w:w="1123" w:type="pct"/>
          </w:tcPr>
          <w:p w14:paraId="20430F41"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w:t>
            </w:r>
            <w:r>
              <w:rPr>
                <w:rFonts w:ascii="Times New Roman" w:hAnsi="Times New Roman"/>
                <w:i/>
                <w:iCs/>
                <w:color w:val="000000" w:themeColor="text1"/>
                <w:sz w:val="18"/>
                <w:szCs w:val="18"/>
                <w:vertAlign w:val="subscript"/>
              </w:rPr>
              <w:t>p</w:t>
            </w:r>
            <w:r>
              <w:rPr>
                <w:rFonts w:ascii="Times New Roman" w:hAnsi="Times New Roman"/>
                <w:color w:val="000000" w:themeColor="text1"/>
                <w:sz w:val="18"/>
                <w:szCs w:val="18"/>
                <w:vertAlign w:val="subscript"/>
              </w:rPr>
              <w:t>,k</w:t>
            </w:r>
            <w:r>
              <w:rPr>
                <w:rFonts w:ascii="Times New Roman" w:hAnsi="Times New Roman"/>
                <w:color w:val="000000" w:themeColor="text1"/>
                <w:sz w:val="18"/>
                <w:szCs w:val="18"/>
              </w:rPr>
              <w:t>(</w:t>
            </w:r>
            <w:r>
              <w:rPr>
                <w:rFonts w:ascii="Times New Roman" w:hAnsi="Times New Roman"/>
                <w:i/>
                <w:iCs/>
                <w:color w:val="000000" w:themeColor="text1"/>
                <w:sz w:val="18"/>
                <w:szCs w:val="18"/>
              </w:rPr>
              <w:t>C</w:t>
            </w:r>
            <w:r>
              <w:rPr>
                <w:rFonts w:ascii="Times New Roman" w:hAnsi="Times New Roman"/>
                <w:color w:val="000000" w:themeColor="text1"/>
                <w:sz w:val="18"/>
                <w:szCs w:val="18"/>
              </w:rPr>
              <w:t>)</w:t>
            </w:r>
          </w:p>
        </w:tc>
        <w:tc>
          <w:tcPr>
            <w:tcW w:w="3877" w:type="pct"/>
          </w:tcPr>
          <w:p w14:paraId="47AD038F"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 xml:space="preserve">Warranty cost due to PM at the </w:t>
            </w:r>
            <w:r>
              <w:rPr>
                <w:rFonts w:ascii="Times New Roman" w:hAnsi="Times New Roman"/>
                <w:i/>
                <w:iCs/>
                <w:sz w:val="18"/>
                <w:szCs w:val="18"/>
              </w:rPr>
              <w:t>k</w:t>
            </w:r>
            <w:r>
              <w:rPr>
                <w:rFonts w:ascii="Times New Roman" w:hAnsi="Times New Roman"/>
                <w:sz w:val="18"/>
                <w:szCs w:val="18"/>
              </w:rPr>
              <w:t>-th inspection</w:t>
            </w:r>
          </w:p>
        </w:tc>
      </w:tr>
      <w:tr w:rsidR="00097C63" w14:paraId="4A811D74" w14:textId="77777777">
        <w:trPr>
          <w:trHeight w:val="64"/>
          <w:jc w:val="center"/>
        </w:trPr>
        <w:tc>
          <w:tcPr>
            <w:tcW w:w="1123" w:type="pct"/>
          </w:tcPr>
          <w:p w14:paraId="4CA75803"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w:t>
            </w:r>
            <w:r>
              <w:rPr>
                <w:rFonts w:ascii="Times New Roman" w:hAnsi="Times New Roman"/>
                <w:i/>
                <w:iCs/>
                <w:color w:val="000000" w:themeColor="text1"/>
                <w:sz w:val="18"/>
                <w:szCs w:val="18"/>
                <w:vertAlign w:val="subscript"/>
              </w:rPr>
              <w:t>c</w:t>
            </w:r>
            <w:r>
              <w:rPr>
                <w:rFonts w:ascii="Times New Roman" w:hAnsi="Times New Roman"/>
                <w:color w:val="000000" w:themeColor="text1"/>
                <w:sz w:val="18"/>
                <w:szCs w:val="18"/>
                <w:vertAlign w:val="subscript"/>
              </w:rPr>
              <w:t>,k</w:t>
            </w:r>
            <w:r>
              <w:rPr>
                <w:rFonts w:ascii="Times New Roman" w:hAnsi="Times New Roman"/>
                <w:color w:val="000000" w:themeColor="text1"/>
                <w:sz w:val="18"/>
                <w:szCs w:val="18"/>
              </w:rPr>
              <w:t>(</w:t>
            </w:r>
            <w:r>
              <w:rPr>
                <w:rFonts w:ascii="Times New Roman" w:hAnsi="Times New Roman"/>
                <w:i/>
                <w:iCs/>
                <w:color w:val="000000" w:themeColor="text1"/>
                <w:sz w:val="18"/>
                <w:szCs w:val="18"/>
              </w:rPr>
              <w:t>C</w:t>
            </w:r>
            <w:r>
              <w:rPr>
                <w:rFonts w:ascii="Times New Roman" w:hAnsi="Times New Roman"/>
                <w:color w:val="000000" w:themeColor="text1"/>
                <w:sz w:val="18"/>
                <w:szCs w:val="18"/>
              </w:rPr>
              <w:t>)</w:t>
            </w:r>
          </w:p>
        </w:tc>
        <w:tc>
          <w:tcPr>
            <w:tcW w:w="3877" w:type="pct"/>
          </w:tcPr>
          <w:p w14:paraId="4AE83D36"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 xml:space="preserve">Warranty cost due to CM at the </w:t>
            </w:r>
            <w:r>
              <w:rPr>
                <w:rFonts w:ascii="Times New Roman" w:hAnsi="Times New Roman"/>
                <w:i/>
                <w:iCs/>
                <w:sz w:val="18"/>
                <w:szCs w:val="18"/>
              </w:rPr>
              <w:t>k</w:t>
            </w:r>
            <w:r>
              <w:rPr>
                <w:rFonts w:ascii="Times New Roman" w:hAnsi="Times New Roman"/>
                <w:sz w:val="18"/>
                <w:szCs w:val="18"/>
              </w:rPr>
              <w:t>-th inspection</w:t>
            </w:r>
          </w:p>
        </w:tc>
      </w:tr>
      <w:tr w:rsidR="00097C63" w14:paraId="75B9AFFE" w14:textId="77777777">
        <w:trPr>
          <w:trHeight w:val="64"/>
          <w:jc w:val="center"/>
        </w:trPr>
        <w:tc>
          <w:tcPr>
            <w:tcW w:w="1123" w:type="pct"/>
          </w:tcPr>
          <w:p w14:paraId="5653C700"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w:t>
            </w:r>
            <w:r>
              <w:rPr>
                <w:rFonts w:ascii="Times New Roman" w:hAnsi="Times New Roman"/>
                <w:color w:val="000000" w:themeColor="text1"/>
                <w:sz w:val="18"/>
                <w:szCs w:val="18"/>
              </w:rPr>
              <w:t>(</w:t>
            </w:r>
            <w:r>
              <w:rPr>
                <w:rFonts w:ascii="Times New Roman" w:hAnsi="Times New Roman"/>
                <w:i/>
                <w:iCs/>
                <w:color w:val="000000" w:themeColor="text1"/>
                <w:sz w:val="18"/>
                <w:szCs w:val="18"/>
              </w:rPr>
              <w:t>T</w:t>
            </w:r>
            <w:r>
              <w:rPr>
                <w:rFonts w:ascii="Times New Roman" w:hAnsi="Times New Roman"/>
                <w:color w:val="000000" w:themeColor="text1"/>
                <w:sz w:val="18"/>
                <w:szCs w:val="18"/>
                <w:vertAlign w:val="subscript"/>
              </w:rPr>
              <w:t>halt</w:t>
            </w:r>
            <w:r>
              <w:rPr>
                <w:rFonts w:ascii="Times New Roman" w:hAnsi="Times New Roman"/>
                <w:color w:val="000000" w:themeColor="text1"/>
                <w:sz w:val="18"/>
                <w:szCs w:val="18"/>
              </w:rPr>
              <w:t>)</w:t>
            </w:r>
          </w:p>
        </w:tc>
        <w:tc>
          <w:tcPr>
            <w:tcW w:w="3877" w:type="pct"/>
          </w:tcPr>
          <w:p w14:paraId="67063F5D"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 xml:space="preserve">Downtime of equipment </w:t>
            </w:r>
          </w:p>
        </w:tc>
      </w:tr>
      <w:tr w:rsidR="00097C63" w14:paraId="0DF793CC" w14:textId="77777777">
        <w:trPr>
          <w:trHeight w:val="64"/>
          <w:jc w:val="center"/>
        </w:trPr>
        <w:tc>
          <w:tcPr>
            <w:tcW w:w="1123" w:type="pct"/>
          </w:tcPr>
          <w:p w14:paraId="6FA1A1F9"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EC</w:t>
            </w:r>
          </w:p>
        </w:tc>
        <w:tc>
          <w:tcPr>
            <w:tcW w:w="3877" w:type="pct"/>
          </w:tcPr>
          <w:p w14:paraId="26CFD3A8"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 xml:space="preserve">Warranty cost of equipment </w:t>
            </w:r>
          </w:p>
        </w:tc>
      </w:tr>
      <w:tr w:rsidR="00097C63" w14:paraId="62E9D277" w14:textId="77777777">
        <w:trPr>
          <w:trHeight w:val="64"/>
          <w:jc w:val="center"/>
        </w:trPr>
        <w:tc>
          <w:tcPr>
            <w:tcW w:w="1123" w:type="pct"/>
          </w:tcPr>
          <w:p w14:paraId="6DEDC2B0"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EI</w:t>
            </w:r>
          </w:p>
        </w:tc>
        <w:tc>
          <w:tcPr>
            <w:tcW w:w="3877" w:type="pct"/>
          </w:tcPr>
          <w:p w14:paraId="5552C203"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Manufacturer's expected performance warranty revenue</w:t>
            </w:r>
          </w:p>
        </w:tc>
      </w:tr>
      <w:tr w:rsidR="00097C63" w14:paraId="023A4D7B" w14:textId="77777777">
        <w:trPr>
          <w:trHeight w:val="64"/>
          <w:jc w:val="center"/>
        </w:trPr>
        <w:tc>
          <w:tcPr>
            <w:tcW w:w="1123" w:type="pct"/>
          </w:tcPr>
          <w:p w14:paraId="3F3C1638" w14:textId="77777777" w:rsidR="00097C63" w:rsidRDefault="00FB6D14">
            <w:pPr>
              <w:wordWrap w:val="0"/>
              <w:ind w:right="14"/>
              <w:jc w:val="center"/>
              <w:rPr>
                <w:rFonts w:ascii="Times New Roman" w:hAnsi="Times New Roman"/>
                <w:color w:val="000000" w:themeColor="text1"/>
                <w:position w:val="-12"/>
                <w:sz w:val="18"/>
                <w:szCs w:val="18"/>
              </w:rPr>
            </w:pPr>
            <m:oMathPara>
              <m:oMath>
                <m:r>
                  <w:rPr>
                    <w:rFonts w:ascii="Cambria Math" w:hAnsi="Cambria Math"/>
                    <w:color w:val="000000" w:themeColor="text1"/>
                    <w:sz w:val="18"/>
                    <w:szCs w:val="18"/>
                  </w:rPr>
                  <m:t>ω</m:t>
                </m:r>
              </m:oMath>
            </m:oMathPara>
          </w:p>
        </w:tc>
        <w:tc>
          <w:tcPr>
            <w:tcW w:w="3877" w:type="pct"/>
          </w:tcPr>
          <w:p w14:paraId="7F2D26E6"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Fixed income</w:t>
            </w:r>
          </w:p>
        </w:tc>
      </w:tr>
      <w:tr w:rsidR="00097C63" w14:paraId="2EF7580F" w14:textId="77777777">
        <w:trPr>
          <w:trHeight w:val="64"/>
          <w:jc w:val="center"/>
        </w:trPr>
        <w:tc>
          <w:tcPr>
            <w:tcW w:w="1123" w:type="pct"/>
          </w:tcPr>
          <w:p w14:paraId="11BB07FB" w14:textId="77777777" w:rsidR="00097C63" w:rsidRDefault="00FB6D14">
            <w:pPr>
              <w:wordWrap w:val="0"/>
              <w:ind w:right="14"/>
              <w:jc w:val="center"/>
              <w:rPr>
                <w:rFonts w:ascii="Times New Roman" w:hAnsi="Times New Roman"/>
                <w:color w:val="000000" w:themeColor="text1"/>
                <w:position w:val="-12"/>
                <w:sz w:val="18"/>
                <w:szCs w:val="18"/>
              </w:rPr>
            </w:pPr>
            <m:oMathPara>
              <m:oMath>
                <m:r>
                  <w:rPr>
                    <w:rFonts w:ascii="Cambria Math" w:hAnsi="Cambria Math"/>
                    <w:sz w:val="18"/>
                    <w:szCs w:val="18"/>
                  </w:rPr>
                  <m:t>ϖ</m:t>
                </m:r>
              </m:oMath>
            </m:oMathPara>
          </w:p>
        </w:tc>
        <w:tc>
          <w:tcPr>
            <w:tcW w:w="3877" w:type="pct"/>
          </w:tcPr>
          <w:p w14:paraId="4F2DE6AD"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Reward income coefficient</w:t>
            </w:r>
          </w:p>
        </w:tc>
      </w:tr>
      <w:tr w:rsidR="00097C63" w14:paraId="1CA57C2A" w14:textId="77777777">
        <w:trPr>
          <w:trHeight w:val="64"/>
          <w:jc w:val="center"/>
        </w:trPr>
        <w:tc>
          <w:tcPr>
            <w:tcW w:w="1123" w:type="pct"/>
          </w:tcPr>
          <w:p w14:paraId="61FA0FCA"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A</w:t>
            </w:r>
            <w:r>
              <w:rPr>
                <w:rFonts w:ascii="Times New Roman" w:hAnsi="Times New Roman"/>
                <w:color w:val="000000" w:themeColor="text1"/>
                <w:sz w:val="18"/>
                <w:szCs w:val="18"/>
                <w:vertAlign w:val="subscript"/>
              </w:rPr>
              <w:t>min</w:t>
            </w:r>
          </w:p>
        </w:tc>
        <w:tc>
          <w:tcPr>
            <w:tcW w:w="3877" w:type="pct"/>
          </w:tcPr>
          <w:p w14:paraId="513C9824"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The minimum level of system availability required by user</w:t>
            </w:r>
          </w:p>
        </w:tc>
      </w:tr>
      <w:tr w:rsidR="00097C63" w14:paraId="18DF1463" w14:textId="77777777">
        <w:trPr>
          <w:trHeight w:val="64"/>
          <w:jc w:val="center"/>
        </w:trPr>
        <w:tc>
          <w:tcPr>
            <w:tcW w:w="1123" w:type="pct"/>
          </w:tcPr>
          <w:p w14:paraId="13991DFE"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position w:val="-14"/>
                <w:sz w:val="18"/>
                <w:szCs w:val="18"/>
              </w:rPr>
              <w:t>S</w:t>
            </w:r>
            <w:r>
              <w:rPr>
                <w:rFonts w:ascii="Times New Roman" w:hAnsi="Times New Roman"/>
                <w:color w:val="000000" w:themeColor="text1"/>
                <w:position w:val="-14"/>
                <w:sz w:val="18"/>
                <w:szCs w:val="18"/>
                <w:vertAlign w:val="subscript"/>
              </w:rPr>
              <w:t>p</w:t>
            </w:r>
          </w:p>
        </w:tc>
        <w:tc>
          <w:tcPr>
            <w:tcW w:w="3877" w:type="pct"/>
          </w:tcPr>
          <w:p w14:paraId="74205EBB"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Product price</w:t>
            </w:r>
          </w:p>
        </w:tc>
      </w:tr>
      <w:tr w:rsidR="00097C63" w14:paraId="78EAF3C9" w14:textId="77777777">
        <w:trPr>
          <w:trHeight w:val="64"/>
          <w:jc w:val="center"/>
        </w:trPr>
        <w:tc>
          <w:tcPr>
            <w:tcW w:w="1123" w:type="pct"/>
          </w:tcPr>
          <w:p w14:paraId="411DD588"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R</w:t>
            </w:r>
            <w:r>
              <w:rPr>
                <w:rFonts w:ascii="Times New Roman" w:hAnsi="Times New Roman"/>
                <w:color w:val="000000" w:themeColor="text1"/>
                <w:sz w:val="18"/>
                <w:szCs w:val="18"/>
              </w:rPr>
              <w:t>(</w:t>
            </w:r>
            <w:r>
              <w:rPr>
                <w:rFonts w:ascii="Times New Roman" w:hAnsi="Times New Roman"/>
                <w:i/>
                <w:iCs/>
                <w:color w:val="000000" w:themeColor="text1"/>
                <w:sz w:val="18"/>
                <w:szCs w:val="18"/>
              </w:rPr>
              <w:t>W, h</w:t>
            </w:r>
            <w:r>
              <w:rPr>
                <w:rFonts w:ascii="Times New Roman" w:hAnsi="Times New Roman"/>
                <w:i/>
                <w:iCs/>
                <w:color w:val="000000" w:themeColor="text1"/>
                <w:sz w:val="18"/>
                <w:szCs w:val="18"/>
                <w:vertAlign w:val="subscript"/>
              </w:rPr>
              <w:t>p</w:t>
            </w:r>
            <w:r>
              <w:rPr>
                <w:rFonts w:ascii="Times New Roman" w:hAnsi="Times New Roman"/>
                <w:i/>
                <w:iCs/>
                <w:color w:val="000000" w:themeColor="text1"/>
                <w:sz w:val="18"/>
                <w:szCs w:val="18"/>
              </w:rPr>
              <w:t>, S</w:t>
            </w:r>
            <w:r>
              <w:rPr>
                <w:rFonts w:ascii="Times New Roman" w:hAnsi="Times New Roman"/>
                <w:i/>
                <w:iCs/>
                <w:color w:val="000000" w:themeColor="text1"/>
                <w:sz w:val="18"/>
                <w:szCs w:val="18"/>
                <w:vertAlign w:val="subscript"/>
              </w:rPr>
              <w:t>p</w:t>
            </w:r>
            <w:r>
              <w:rPr>
                <w:rFonts w:ascii="Times New Roman" w:hAnsi="Times New Roman"/>
                <w:color w:val="000000" w:themeColor="text1"/>
                <w:sz w:val="18"/>
                <w:szCs w:val="18"/>
              </w:rPr>
              <w:t>)</w:t>
            </w:r>
          </w:p>
        </w:tc>
        <w:tc>
          <w:tcPr>
            <w:tcW w:w="3877" w:type="pct"/>
          </w:tcPr>
          <w:p w14:paraId="3095ABC2"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Product demand</w:t>
            </w:r>
          </w:p>
        </w:tc>
      </w:tr>
      <w:tr w:rsidR="00097C63" w14:paraId="67C45C83" w14:textId="77777777">
        <w:trPr>
          <w:trHeight w:val="64"/>
          <w:jc w:val="center"/>
        </w:trPr>
        <w:tc>
          <w:tcPr>
            <w:tcW w:w="1123" w:type="pct"/>
          </w:tcPr>
          <w:p w14:paraId="68975CB4" w14:textId="77777777" w:rsidR="00097C63" w:rsidRDefault="00FB6D14">
            <w:pPr>
              <w:wordWrap w:val="0"/>
              <w:ind w:right="14"/>
              <w:jc w:val="center"/>
              <w:rPr>
                <w:rFonts w:ascii="Times New Roman" w:hAnsi="Times New Roman"/>
                <w:color w:val="000000" w:themeColor="text1"/>
                <w:position w:val="-12"/>
                <w:sz w:val="18"/>
                <w:szCs w:val="18"/>
              </w:rPr>
            </w:pPr>
            <w:r>
              <w:rPr>
                <w:rFonts w:ascii="Times New Roman" w:hAnsi="Times New Roman"/>
                <w:i/>
                <w:iCs/>
                <w:color w:val="000000" w:themeColor="text1"/>
                <w:sz w:val="18"/>
                <w:szCs w:val="18"/>
              </w:rPr>
              <w:t>G</w:t>
            </w:r>
          </w:p>
        </w:tc>
        <w:tc>
          <w:tcPr>
            <w:tcW w:w="3877" w:type="pct"/>
          </w:tcPr>
          <w:p w14:paraId="11CC5ACE" w14:textId="77777777" w:rsidR="00097C63" w:rsidRDefault="00FB6D14">
            <w:pPr>
              <w:wordWrap w:val="0"/>
              <w:ind w:right="14"/>
              <w:rPr>
                <w:rFonts w:ascii="Times New Roman" w:hAnsi="Times New Roman"/>
                <w:color w:val="000000" w:themeColor="text1"/>
                <w:position w:val="-12"/>
                <w:sz w:val="18"/>
                <w:szCs w:val="18"/>
              </w:rPr>
            </w:pPr>
            <w:r>
              <w:rPr>
                <w:rFonts w:ascii="Times New Roman" w:hAnsi="Times New Roman"/>
                <w:sz w:val="18"/>
                <w:szCs w:val="18"/>
              </w:rPr>
              <w:t>Total profit from product sales</w:t>
            </w:r>
          </w:p>
        </w:tc>
      </w:tr>
      <w:tr w:rsidR="00097C63" w14:paraId="699A42A7" w14:textId="77777777">
        <w:trPr>
          <w:trHeight w:val="64"/>
          <w:jc w:val="center"/>
        </w:trPr>
        <w:tc>
          <w:tcPr>
            <w:tcW w:w="1123" w:type="pct"/>
          </w:tcPr>
          <w:p w14:paraId="731DF8F6" w14:textId="77777777" w:rsidR="00097C63" w:rsidRDefault="00FB6D14">
            <w:pPr>
              <w:wordWrap w:val="0"/>
              <w:ind w:right="14"/>
              <w:jc w:val="center"/>
              <w:rPr>
                <w:rFonts w:ascii="Times New Roman" w:hAnsi="Times New Roman"/>
                <w:i/>
                <w:iCs/>
                <w:color w:val="000000" w:themeColor="text1"/>
                <w:sz w:val="18"/>
                <w:szCs w:val="18"/>
              </w:rPr>
            </w:pPr>
            <w:r>
              <w:rPr>
                <w:rFonts w:ascii="Times New Roman" w:hAnsi="Times New Roman"/>
                <w:i/>
                <w:iCs/>
                <w:color w:val="000000" w:themeColor="text1"/>
                <w:sz w:val="18"/>
                <w:szCs w:val="18"/>
              </w:rPr>
              <w:t>G</w:t>
            </w:r>
            <w:r>
              <w:rPr>
                <w:rFonts w:ascii="Times New Roman" w:hAnsi="Times New Roman"/>
                <w:i/>
                <w:iCs/>
                <w:color w:val="000000" w:themeColor="text1"/>
                <w:sz w:val="18"/>
                <w:szCs w:val="18"/>
                <w:vertAlign w:val="subscript"/>
              </w:rPr>
              <w:t>m</w:t>
            </w:r>
          </w:p>
        </w:tc>
        <w:tc>
          <w:tcPr>
            <w:tcW w:w="3877" w:type="pct"/>
          </w:tcPr>
          <w:p w14:paraId="5FE4DA5E" w14:textId="77777777" w:rsidR="00097C63" w:rsidRDefault="00FB6D14">
            <w:pPr>
              <w:wordWrap w:val="0"/>
              <w:ind w:right="14"/>
              <w:rPr>
                <w:rFonts w:ascii="Times New Roman" w:hAnsi="Times New Roman"/>
                <w:sz w:val="18"/>
                <w:szCs w:val="18"/>
              </w:rPr>
            </w:pPr>
            <w:r>
              <w:rPr>
                <w:rFonts w:ascii="Times New Roman" w:hAnsi="Times New Roman"/>
                <w:sz w:val="18"/>
                <w:szCs w:val="18"/>
              </w:rPr>
              <w:t>Manufacturer's total profit</w:t>
            </w:r>
          </w:p>
        </w:tc>
      </w:tr>
      <w:tr w:rsidR="00097C63" w14:paraId="4E3D25F2" w14:textId="77777777">
        <w:trPr>
          <w:trHeight w:val="64"/>
          <w:jc w:val="center"/>
        </w:trPr>
        <w:tc>
          <w:tcPr>
            <w:tcW w:w="1123" w:type="pct"/>
          </w:tcPr>
          <w:p w14:paraId="5DFC0032" w14:textId="77777777" w:rsidR="00097C63" w:rsidRDefault="00FB6D14">
            <w:pPr>
              <w:wordWrap w:val="0"/>
              <w:ind w:right="14"/>
              <w:jc w:val="center"/>
              <w:rPr>
                <w:rFonts w:ascii="Times New Roman" w:hAnsi="Times New Roman"/>
                <w:i/>
                <w:iCs/>
                <w:color w:val="000000" w:themeColor="text1"/>
                <w:sz w:val="18"/>
                <w:szCs w:val="18"/>
              </w:rPr>
            </w:pPr>
            <w:r>
              <w:rPr>
                <w:rFonts w:ascii="Times New Roman" w:hAnsi="Times New Roman"/>
                <w:i/>
                <w:iCs/>
                <w:color w:val="000000" w:themeColor="text1"/>
                <w:sz w:val="18"/>
                <w:szCs w:val="18"/>
              </w:rPr>
              <w:t>EP</w:t>
            </w:r>
          </w:p>
        </w:tc>
        <w:tc>
          <w:tcPr>
            <w:tcW w:w="3877" w:type="pct"/>
          </w:tcPr>
          <w:p w14:paraId="27A05DD9" w14:textId="77777777" w:rsidR="00097C63" w:rsidRDefault="00FB6D14">
            <w:pPr>
              <w:wordWrap w:val="0"/>
              <w:ind w:right="14"/>
              <w:rPr>
                <w:rFonts w:ascii="Times New Roman" w:hAnsi="Times New Roman"/>
                <w:sz w:val="18"/>
                <w:szCs w:val="18"/>
              </w:rPr>
            </w:pPr>
            <w:r>
              <w:rPr>
                <w:rFonts w:ascii="Times New Roman" w:hAnsi="Times New Roman"/>
                <w:sz w:val="18"/>
                <w:szCs w:val="18"/>
              </w:rPr>
              <w:t>Manufacturer's expected performance warranty profit</w:t>
            </w:r>
          </w:p>
        </w:tc>
      </w:tr>
    </w:tbl>
    <w:p w14:paraId="513814A0" w14:textId="77777777" w:rsidR="00097C63" w:rsidRDefault="00FB6D14">
      <w:pPr>
        <w:pStyle w:val="tekstgowny"/>
        <w:ind w:firstLine="0"/>
      </w:pPr>
      <w:r>
        <w:t xml:space="preserve">Figure 2 illustrates the schematic diagram of preventive </w:t>
      </w:r>
      <w:r>
        <w:rPr>
          <w:rFonts w:hint="eastAsia"/>
        </w:rPr>
        <w:t>inspection</w:t>
      </w:r>
      <w:r>
        <w:t xml:space="preserve"> for a degrading system, intuitively presenting the evolution of the system's condition under the above assumptions.</w:t>
      </w:r>
    </w:p>
    <w:p w14:paraId="4D206AA8" w14:textId="77777777" w:rsidR="00097C63" w:rsidRDefault="00FB6D14">
      <w:pPr>
        <w:pStyle w:val="tekstgowny"/>
        <w:ind w:firstLine="0"/>
        <w:rPr>
          <w:lang w:val="en-US"/>
        </w:rPr>
      </w:pPr>
      <w:r>
        <w:rPr>
          <w:noProof/>
          <w:color w:val="C71D31"/>
          <w:sz w:val="21"/>
          <w:szCs w:val="22"/>
          <w:lang w:val="pl-PL" w:eastAsia="pl-PL"/>
        </w:rPr>
        <w:drawing>
          <wp:inline distT="0" distB="0" distL="114300" distR="114300">
            <wp:extent cx="3240405" cy="1932305"/>
            <wp:effectExtent l="0" t="0" r="0" b="0"/>
            <wp:docPr id="12"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8"/>
                    <pic:cNvPicPr>
                      <a:picLocks noChangeAspect="1"/>
                    </pic:cNvPicPr>
                  </pic:nvPicPr>
                  <pic:blipFill>
                    <a:blip r:embed="rId19"/>
                    <a:stretch>
                      <a:fillRect/>
                    </a:stretch>
                  </pic:blipFill>
                  <pic:spPr>
                    <a:xfrm>
                      <a:off x="0" y="0"/>
                      <a:ext cx="3240405" cy="1932769"/>
                    </a:xfrm>
                    <a:prstGeom prst="rect">
                      <a:avLst/>
                    </a:prstGeom>
                    <a:noFill/>
                    <a:ln>
                      <a:noFill/>
                    </a:ln>
                  </pic:spPr>
                </pic:pic>
              </a:graphicData>
            </a:graphic>
          </wp:inline>
        </w:drawing>
      </w:r>
    </w:p>
    <w:p w14:paraId="338F2C21" w14:textId="77777777" w:rsidR="00097C63" w:rsidRDefault="00FB6D14">
      <w:pPr>
        <w:pStyle w:val="tekstgowny"/>
        <w:ind w:firstLine="0"/>
        <w:jc w:val="center"/>
        <w:rPr>
          <w:lang w:val="en-US"/>
        </w:rPr>
      </w:pPr>
      <w:r>
        <w:rPr>
          <w:lang w:val="en-US"/>
        </w:rPr>
        <w:t xml:space="preserve">Figure 2. Schematic </w:t>
      </w:r>
      <w:r>
        <w:rPr>
          <w:rFonts w:hint="eastAsia"/>
          <w:lang w:val="en-US"/>
        </w:rPr>
        <w:t>d</w:t>
      </w:r>
      <w:r>
        <w:rPr>
          <w:lang w:val="en-US"/>
        </w:rPr>
        <w:t xml:space="preserve">iagram of </w:t>
      </w:r>
      <w:r>
        <w:rPr>
          <w:rFonts w:hint="eastAsia"/>
          <w:lang w:val="en-US"/>
        </w:rPr>
        <w:t>p</w:t>
      </w:r>
      <w:r>
        <w:rPr>
          <w:lang w:val="en-US"/>
        </w:rPr>
        <w:t xml:space="preserve">reventive </w:t>
      </w:r>
      <w:r>
        <w:rPr>
          <w:rFonts w:hint="eastAsia"/>
          <w:lang w:val="en-US"/>
        </w:rPr>
        <w:t>inspection</w:t>
      </w:r>
      <w:r>
        <w:rPr>
          <w:lang w:val="en-US"/>
        </w:rPr>
        <w:t xml:space="preserve"> </w:t>
      </w:r>
      <w:r>
        <w:rPr>
          <w:rFonts w:hint="eastAsia"/>
          <w:lang w:val="en-US"/>
        </w:rPr>
        <w:t>s</w:t>
      </w:r>
      <w:r>
        <w:rPr>
          <w:lang w:val="en-US"/>
        </w:rPr>
        <w:t xml:space="preserve">trategy for </w:t>
      </w:r>
      <w:r>
        <w:rPr>
          <w:rFonts w:hint="eastAsia"/>
          <w:lang w:val="en-US"/>
        </w:rPr>
        <w:t>d</w:t>
      </w:r>
      <w:r>
        <w:rPr>
          <w:lang w:val="en-US"/>
        </w:rPr>
        <w:t xml:space="preserve">egrading </w:t>
      </w:r>
      <w:r>
        <w:rPr>
          <w:rFonts w:hint="eastAsia"/>
          <w:lang w:val="en-US"/>
        </w:rPr>
        <w:t>s</w:t>
      </w:r>
      <w:r>
        <w:rPr>
          <w:lang w:val="en-US"/>
        </w:rPr>
        <w:t>ystem</w:t>
      </w:r>
      <w:r>
        <w:rPr>
          <w:rFonts w:hint="eastAsia"/>
          <w:lang w:val="en-US"/>
        </w:rPr>
        <w:t>.</w:t>
      </w:r>
    </w:p>
    <w:p w14:paraId="17E287A4" w14:textId="77777777" w:rsidR="00097C63" w:rsidRDefault="00FB6D14">
      <w:pPr>
        <w:pStyle w:val="tekstgowny"/>
      </w:pPr>
      <w:r>
        <w:lastRenderedPageBreak/>
        <w:t xml:space="preserve">In Figure 2, </w:t>
      </w:r>
      <w:r>
        <w:rPr>
          <w:rFonts w:hint="eastAsia"/>
          <w:i/>
          <w:iCs/>
        </w:rPr>
        <w:t>L</w:t>
      </w:r>
      <w:r>
        <w:rPr>
          <w:rFonts w:hint="eastAsia"/>
        </w:rPr>
        <w:t>(</w:t>
      </w:r>
      <w:r>
        <w:rPr>
          <w:rFonts w:hint="eastAsia"/>
          <w:i/>
          <w:iCs/>
        </w:rPr>
        <w:t>t</w:t>
      </w:r>
      <w:r>
        <w:rPr>
          <w:rFonts w:hint="eastAsia"/>
        </w:rPr>
        <w:t>)</w:t>
      </w:r>
      <w:r>
        <w:rPr>
          <w:rFonts w:hint="eastAsia"/>
          <w:i/>
          <w:iCs/>
          <w:vertAlign w:val="subscript"/>
        </w:rPr>
        <w:t xml:space="preserve"> </w:t>
      </w:r>
      <w:r>
        <w:t xml:space="preserve">represents the degradation level of equipment at time </w:t>
      </w:r>
      <w:r>
        <w:rPr>
          <w:i/>
          <w:iCs/>
        </w:rPr>
        <w:t>t</w:t>
      </w:r>
      <w:r>
        <w:t xml:space="preserve"> , </w:t>
      </w:r>
      <w:r>
        <w:rPr>
          <w:rFonts w:hint="eastAsia"/>
          <w:i/>
          <w:iCs/>
        </w:rPr>
        <w:t>h</w:t>
      </w:r>
      <w:r>
        <w:rPr>
          <w:rFonts w:hint="eastAsia"/>
          <w:i/>
          <w:iCs/>
          <w:vertAlign w:val="subscript"/>
        </w:rPr>
        <w:t xml:space="preserve">f  </w:t>
      </w:r>
      <w:r>
        <w:t>denotes the failure threshold of</w:t>
      </w:r>
      <w:r>
        <w:rPr>
          <w:rFonts w:hint="eastAsia"/>
        </w:rPr>
        <w:t xml:space="preserve"> </w:t>
      </w:r>
      <w:r>
        <w:t xml:space="preserve">equipment, and </w:t>
      </w:r>
      <w:r>
        <w:rPr>
          <w:rFonts w:hint="eastAsia"/>
          <w:i/>
          <w:iCs/>
        </w:rPr>
        <w:t>h</w:t>
      </w:r>
      <w:r>
        <w:rPr>
          <w:rFonts w:hint="eastAsia"/>
          <w:i/>
          <w:iCs/>
          <w:vertAlign w:val="subscript"/>
        </w:rPr>
        <w:t xml:space="preserve">p </w:t>
      </w:r>
      <w:r>
        <w:t xml:space="preserve">represents the threshold for </w:t>
      </w:r>
      <w:r>
        <w:rPr>
          <w:rFonts w:hint="eastAsia"/>
        </w:rPr>
        <w:t>PM</w:t>
      </w:r>
      <w:r>
        <w:t>. During equipment</w:t>
      </w:r>
      <w:r>
        <w:rPr>
          <w:rFonts w:hint="eastAsia"/>
        </w:rPr>
        <w:t xml:space="preserve"> </w:t>
      </w:r>
      <w:r>
        <w:t>operation, its performance undergoes a natural attenuation process</w:t>
      </w:r>
      <w:r>
        <w:rPr>
          <w:rFonts w:hint="eastAsia"/>
        </w:rPr>
        <w:t xml:space="preserve"> </w:t>
      </w:r>
      <w:r>
        <w:t>characterized by significant stochastic features. From a system perspective, performance attenuation can be regarded as a continuous accumulation of damage, and when this accumulation reaches a critical point, the system will fail.</w:t>
      </w:r>
    </w:p>
    <w:p w14:paraId="4F56729E" w14:textId="77777777" w:rsidR="00097C63" w:rsidRDefault="00FB6D14">
      <w:pPr>
        <w:pStyle w:val="Nagwek1"/>
      </w:pPr>
      <w:r>
        <w:t xml:space="preserve">Mathematical </w:t>
      </w:r>
      <w:r>
        <w:rPr>
          <w:rFonts w:hint="eastAsia"/>
        </w:rPr>
        <w:t>m</w:t>
      </w:r>
      <w:r>
        <w:t>odel</w:t>
      </w:r>
    </w:p>
    <w:p w14:paraId="503A9B17" w14:textId="77777777" w:rsidR="00097C63" w:rsidRDefault="00FB6D14">
      <w:pPr>
        <w:pStyle w:val="Nagwek2"/>
      </w:pPr>
      <w:r>
        <w:t xml:space="preserve">4.1. </w:t>
      </w:r>
      <w:r>
        <w:rPr>
          <w:rFonts w:hint="eastAsia"/>
        </w:rPr>
        <w:t>Performance degradation model of equipment</w:t>
      </w:r>
    </w:p>
    <w:p w14:paraId="029FF72D" w14:textId="77777777" w:rsidR="00097C63" w:rsidRDefault="00FB6D14">
      <w:pPr>
        <w:pStyle w:val="tekstgowny"/>
        <w:ind w:firstLine="0"/>
      </w:pPr>
      <w:r>
        <w:t>For systems with monotonically increasing degradation, this study employs the IG</w:t>
      </w:r>
      <w:r>
        <w:rPr>
          <w:rFonts w:hint="eastAsia"/>
        </w:rPr>
        <w:t xml:space="preserve"> </w:t>
      </w:r>
      <w:r>
        <w:t xml:space="preserve">process for modeling. Within any time interval, if the system's degradation increment follows an </w:t>
      </w:r>
      <w:r>
        <w:rPr>
          <w:rFonts w:hint="eastAsia"/>
        </w:rPr>
        <w:t>IG</w:t>
      </w:r>
      <w:r>
        <w:t xml:space="preserve"> distribution, its probability density function </w:t>
      </w:r>
      <w:r>
        <w:rPr>
          <w:rFonts w:hint="eastAsia"/>
        </w:rPr>
        <w:t>is given by</w:t>
      </w:r>
      <w:r>
        <w:t>:</w:t>
      </w:r>
    </w:p>
    <w:p w14:paraId="2D9DBB72" w14:textId="02737247" w:rsidR="00097C63" w:rsidRDefault="00FB6D14">
      <w:pPr>
        <w:pStyle w:val="tekstgowny"/>
        <w:ind w:firstLine="0"/>
        <w:jc w:val="right"/>
        <w:rPr>
          <w:rFonts w:ascii="Cambria Math" w:hAnsi="Cambria Math"/>
          <w:lang w:val="en-US"/>
        </w:rPr>
      </w:pPr>
      <m:oMath>
        <m:r>
          <w:rPr>
            <w:rFonts w:ascii="Cambria Math" w:hAnsi="Cambria Math"/>
            <w:sz w:val="18"/>
            <w:szCs w:val="18"/>
            <w:lang w:val="en-US"/>
          </w:rPr>
          <m:t>f(t;u,λ)=</m:t>
        </m:r>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λ</m:t>
                </m:r>
              </m:num>
              <m:den>
                <m:r>
                  <w:rPr>
                    <w:rFonts w:ascii="Cambria Math" w:hAnsi="Cambria Math"/>
                    <w:sz w:val="18"/>
                    <w:szCs w:val="18"/>
                    <w:lang w:val="en-US"/>
                  </w:rPr>
                  <m:t>2π</m:t>
                </m:r>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lang w:val="en-US"/>
                      </w:rPr>
                      <m:t>3</m:t>
                    </m:r>
                  </m:sup>
                </m:sSup>
              </m:den>
            </m:f>
          </m:e>
        </m:rad>
        <m:func>
          <m:funcPr>
            <m:ctrlPr>
              <w:rPr>
                <w:rFonts w:ascii="Cambria Math" w:hAnsi="Cambria Math"/>
                <w:i/>
                <w:sz w:val="18"/>
                <w:szCs w:val="18"/>
                <w:lang w:val="en-US"/>
              </w:rPr>
            </m:ctrlPr>
          </m:funcPr>
          <m:fName>
            <m:r>
              <w:rPr>
                <w:rFonts w:ascii="Cambria Math" w:hAnsi="Cambria Math"/>
                <w:sz w:val="18"/>
                <w:szCs w:val="18"/>
                <w:lang w:val="en-US"/>
              </w:rPr>
              <m:t>exp</m:t>
            </m:r>
          </m:fName>
          <m:e>
            <m:r>
              <w:rPr>
                <w:rFonts w:ascii="Cambria Math" w:hAnsi="Cambria Math"/>
                <w:sz w:val="18"/>
                <w:szCs w:val="18"/>
                <w:lang w:val="en-US"/>
              </w:rPr>
              <m:t>(</m:t>
            </m:r>
          </m:e>
        </m:func>
        <m:r>
          <w:rPr>
            <w:rFonts w:ascii="Cambria Math" w:hAnsi="Cambria Math"/>
            <w:sz w:val="18"/>
            <w:szCs w:val="18"/>
            <w:lang w:val="en-US"/>
          </w:rPr>
          <m:t>-</m:t>
        </m:r>
        <m:f>
          <m:fPr>
            <m:ctrlPr>
              <w:rPr>
                <w:rFonts w:ascii="Cambria Math" w:hAnsi="Cambria Math"/>
                <w:i/>
                <w:sz w:val="18"/>
                <w:szCs w:val="18"/>
                <w:lang w:val="en-US"/>
              </w:rPr>
            </m:ctrlPr>
          </m:fPr>
          <m:num>
            <m:r>
              <w:rPr>
                <w:rFonts w:ascii="Cambria Math" w:hAnsi="Cambria Math"/>
                <w:sz w:val="18"/>
                <w:szCs w:val="18"/>
                <w:lang w:val="en-US"/>
              </w:rPr>
              <m:t>λ(t-u</m:t>
            </m:r>
            <m:sSup>
              <m:sSupPr>
                <m:ctrlPr>
                  <w:rPr>
                    <w:rFonts w:ascii="Cambria Math" w:hAnsi="Cambria Math"/>
                    <w:i/>
                    <w:sz w:val="18"/>
                    <w:szCs w:val="18"/>
                    <w:lang w:val="en-US"/>
                  </w:rPr>
                </m:ctrlPr>
              </m:sSupPr>
              <m:e>
                <m:r>
                  <w:rPr>
                    <w:rFonts w:ascii="Cambria Math" w:hAnsi="Cambria Math"/>
                    <w:sz w:val="18"/>
                    <w:szCs w:val="18"/>
                    <w:lang w:val="en-US"/>
                  </w:rPr>
                  <m:t>)</m:t>
                </m:r>
              </m:e>
              <m:sup>
                <m:r>
                  <w:rPr>
                    <w:rFonts w:ascii="Cambria Math" w:hAnsi="Cambria Math"/>
                    <w:sz w:val="18"/>
                    <w:szCs w:val="18"/>
                    <w:lang w:val="en-US"/>
                  </w:rPr>
                  <m:t>2</m:t>
                </m:r>
              </m:sup>
            </m:sSup>
          </m:num>
          <m:den>
            <m:r>
              <w:rPr>
                <w:rFonts w:ascii="Cambria Math" w:hAnsi="Cambria Math"/>
                <w:sz w:val="18"/>
                <w:szCs w:val="18"/>
                <w:lang w:val="en-US"/>
              </w:rPr>
              <m:t>2</m:t>
            </m:r>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lang w:val="en-US"/>
                  </w:rPr>
                  <m:t>2</m:t>
                </m:r>
              </m:sup>
            </m:sSup>
            <m:r>
              <w:rPr>
                <w:rFonts w:ascii="Cambria Math" w:hAnsi="Cambria Math"/>
                <w:sz w:val="18"/>
                <w:szCs w:val="18"/>
                <w:lang w:val="en-US"/>
              </w:rPr>
              <m:t>t</m:t>
            </m:r>
          </m:den>
        </m:f>
        <m:r>
          <w:rPr>
            <w:rFonts w:ascii="Cambria Math" w:hAnsi="Cambria Math"/>
            <w:sz w:val="18"/>
            <w:szCs w:val="18"/>
            <w:lang w:val="en-US"/>
          </w:rPr>
          <m:t>), t&gt;0, u&gt;0,λ&gt;0</m:t>
        </m:r>
      </m:oMath>
      <w:r>
        <w:rPr>
          <w:rFonts w:ascii="Cambria Math" w:hAnsi="Cambria Math"/>
        </w:rPr>
        <w:tab/>
      </w:r>
      <w:r>
        <w:rPr>
          <w:rFonts w:ascii="Cambria Math" w:hAnsi="Cambria Math"/>
        </w:rPr>
        <w:fldChar w:fldCharType="begin"/>
      </w:r>
      <w:r>
        <w:rPr>
          <w:rFonts w:ascii="Cambria Math" w:hAnsi="Cambria Math"/>
        </w:rPr>
        <w:instrText xml:space="preserve"> MACROBUTTON MTPlaceRef \* MERGEFORMAT </w:instrText>
      </w:r>
      <w:r>
        <w:rPr>
          <w:rFonts w:ascii="Cambria Math" w:hAnsi="Cambria Math"/>
        </w:rPr>
        <w:fldChar w:fldCharType="begin"/>
      </w:r>
      <w:r>
        <w:rPr>
          <w:rFonts w:ascii="Cambria Math" w:hAnsi="Cambria Math"/>
        </w:rPr>
        <w:instrText xml:space="preserve"> SEQ MTEqn \h \* MERGEFORMAT </w:instrText>
      </w:r>
      <w:r>
        <w:rPr>
          <w:rFonts w:ascii="Cambria Math" w:hAnsi="Cambria Math"/>
        </w:rPr>
        <w:fldChar w:fldCharType="end"/>
      </w:r>
      <w:r>
        <w:rPr>
          <w:rFonts w:ascii="Cambria Math" w:hAnsi="Cambria Math"/>
        </w:rPr>
        <w:instrText>(</w:instrText>
      </w:r>
      <w:r>
        <w:rPr>
          <w:rFonts w:ascii="Cambria Math" w:hAnsi="Cambria Math"/>
        </w:rPr>
        <w:fldChar w:fldCharType="begin"/>
      </w:r>
      <w:r>
        <w:rPr>
          <w:rFonts w:ascii="Cambria Math" w:hAnsi="Cambria Math"/>
        </w:rPr>
        <w:instrText xml:space="preserve"> SEQ MTEqn \c \* Arabic \* MERGEFORMAT </w:instrText>
      </w:r>
      <w:r>
        <w:rPr>
          <w:rFonts w:ascii="Cambria Math" w:hAnsi="Cambria Math"/>
        </w:rPr>
        <w:fldChar w:fldCharType="separate"/>
      </w:r>
      <w:r w:rsidR="00C162C5">
        <w:rPr>
          <w:rFonts w:ascii="Cambria Math" w:hAnsi="Cambria Math"/>
          <w:noProof/>
        </w:rPr>
        <w:instrText>1</w:instrText>
      </w:r>
      <w:r>
        <w:rPr>
          <w:rFonts w:ascii="Cambria Math" w:hAnsi="Cambria Math"/>
        </w:rPr>
        <w:fldChar w:fldCharType="end"/>
      </w:r>
      <w:r>
        <w:rPr>
          <w:rFonts w:ascii="Cambria Math" w:hAnsi="Cambria Math"/>
        </w:rPr>
        <w:instrText>)</w:instrText>
      </w:r>
      <w:r>
        <w:rPr>
          <w:rFonts w:ascii="Cambria Math" w:hAnsi="Cambria Math"/>
        </w:rPr>
        <w:fldChar w:fldCharType="end"/>
      </w:r>
    </w:p>
    <w:p w14:paraId="22AD44AC" w14:textId="77777777" w:rsidR="00097C63" w:rsidRDefault="00FB6D14">
      <w:pPr>
        <w:pStyle w:val="tekstgowny"/>
      </w:pPr>
      <w:r>
        <w:rPr>
          <w:rFonts w:hint="eastAsia"/>
        </w:rPr>
        <w:t xml:space="preserve">Here, </w:t>
      </w:r>
      <w:r>
        <w:rPr>
          <w:rFonts w:hint="eastAsia"/>
          <w:i/>
          <w:iCs/>
        </w:rPr>
        <w:t>u</w:t>
      </w:r>
      <w:r>
        <w:t xml:space="preserve"> and</w:t>
      </w:r>
      <w:r>
        <w:rPr>
          <w:rFonts w:hint="eastAsia"/>
        </w:rPr>
        <w:t xml:space="preserve"> </w:t>
      </w:r>
      <w:r>
        <w:rPr>
          <w:i/>
          <w:iCs/>
        </w:rPr>
        <w:t>λ</w:t>
      </w:r>
      <w:r>
        <w:t xml:space="preserve"> are the mean parameter and shape parameter of the I</w:t>
      </w:r>
      <w:r>
        <w:rPr>
          <w:rFonts w:hint="eastAsia"/>
        </w:rPr>
        <w:t>G</w:t>
      </w:r>
      <w:r>
        <w:t xml:space="preserve"> distribution, respectively.</w:t>
      </w:r>
      <w:r>
        <w:rPr>
          <w:rFonts w:hint="eastAsia"/>
        </w:rPr>
        <w:t xml:space="preserve"> These two parameters define the distribution. The mean parameter </w:t>
      </w:r>
      <w:r>
        <w:rPr>
          <w:rFonts w:hint="eastAsia"/>
          <w:i/>
          <w:iCs/>
        </w:rPr>
        <w:t>u</w:t>
      </w:r>
      <w:r>
        <w:t xml:space="preserve"> determines the central tendency of the distribution, while the shape parameter </w:t>
      </w:r>
      <w:r>
        <w:rPr>
          <w:i/>
          <w:iCs/>
        </w:rPr>
        <w:t>λ</w:t>
      </w:r>
      <w:r>
        <w:t xml:space="preserve"> controls the skewness and tail thickness of the distribution. As </w:t>
      </w:r>
      <w:r>
        <w:rPr>
          <w:i/>
          <w:iCs/>
        </w:rPr>
        <w:t>λ</w:t>
      </w:r>
      <w:r>
        <w:t xml:space="preserve"> approaches infinity, the I</w:t>
      </w:r>
      <w:r>
        <w:rPr>
          <w:rFonts w:hint="eastAsia"/>
        </w:rPr>
        <w:t>G</w:t>
      </w:r>
      <w:r>
        <w:t xml:space="preserve"> distribution gradually approximates the normal distribution, demonstrating the flexibility of parameter adjustment.</w:t>
      </w:r>
    </w:p>
    <w:p w14:paraId="0DDC14B1" w14:textId="77777777" w:rsidR="00097C63" w:rsidRDefault="00FB6D14">
      <w:pPr>
        <w:pStyle w:val="tekstgowny"/>
      </w:pPr>
      <w:r>
        <w:rPr>
          <w:rFonts w:hint="eastAsia"/>
        </w:rPr>
        <w:t xml:space="preserve">The mean of the IG distribution is given by </w:t>
      </w:r>
      <m:oMath>
        <m:r>
          <w:rPr>
            <w:rFonts w:ascii="Cambria Math" w:hAnsi="Cambria Math"/>
          </w:rPr>
          <m:t>E(t)=u</m:t>
        </m:r>
      </m:oMath>
      <w:r>
        <w:rPr>
          <w:rFonts w:hint="eastAsia"/>
        </w:rPr>
        <w:t xml:space="preserve">, and the calculation of </w:t>
      </w:r>
      <m:oMath>
        <m:r>
          <w:rPr>
            <w:rFonts w:ascii="Cambria Math" w:hAnsi="Cambria Math"/>
          </w:rPr>
          <m:t>E(</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m:t>
        </m:r>
      </m:oMath>
      <w:r>
        <w:rPr>
          <w:rFonts w:hint="eastAsia"/>
        </w:rPr>
        <w:t xml:space="preserve"> is shown in formula (2):</w:t>
      </w:r>
    </w:p>
    <w:p w14:paraId="10AD790A" w14:textId="77777777" w:rsidR="00097C63" w:rsidRPr="007C1030" w:rsidRDefault="00FB6D14">
      <w:pPr>
        <w:pStyle w:val="tekstgowny"/>
        <w:ind w:firstLine="0"/>
        <w:jc w:val="right"/>
        <w:rPr>
          <w:rFonts w:ascii="Cambria Math" w:hAnsi="Cambria Math"/>
        </w:rPr>
      </w:pPr>
      <m:oMath>
        <m:r>
          <w:rPr>
            <w:rFonts w:ascii="Cambria Math" w:hAnsi="Cambria Math"/>
            <w:sz w:val="18"/>
            <w:szCs w:val="18"/>
            <w:lang w:val="en-US"/>
          </w:rPr>
          <m:t>E</m:t>
        </m:r>
        <m:r>
          <w:rPr>
            <w:rFonts w:ascii="Cambria Math" w:hAnsi="Cambria Math"/>
            <w:sz w:val="18"/>
            <w:szCs w:val="18"/>
          </w:rPr>
          <m:t>(</m:t>
        </m:r>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rPr>
              <m:t>2</m:t>
            </m:r>
          </m:sup>
        </m:sSup>
        <m:r>
          <w:rPr>
            <w:rFonts w:ascii="Cambria Math" w:hAnsi="Cambria Math"/>
            <w:sz w:val="18"/>
            <w:szCs w:val="18"/>
          </w:rPr>
          <m:t>)=</m:t>
        </m:r>
        <m:nary>
          <m:naryPr>
            <m:ctrlPr>
              <w:rPr>
                <w:rFonts w:ascii="Cambria Math" w:hAnsi="Cambria Math"/>
                <w:i/>
                <w:sz w:val="18"/>
                <w:szCs w:val="18"/>
                <w:lang w:val="en-US"/>
              </w:rPr>
            </m:ctrlPr>
          </m:naryPr>
          <m:sub>
            <m:r>
              <w:rPr>
                <w:rFonts w:ascii="Cambria Math" w:hAnsi="Cambria Math"/>
                <w:sz w:val="18"/>
                <w:szCs w:val="18"/>
              </w:rPr>
              <m:t>0</m:t>
            </m:r>
          </m:sub>
          <m:sup>
            <m:r>
              <w:rPr>
                <w:rFonts w:ascii="Cambria Math" w:hAnsi="Cambria Math"/>
                <w:sz w:val="18"/>
                <w:szCs w:val="18"/>
              </w:rPr>
              <m:t>∞</m:t>
            </m:r>
          </m:sup>
          <m:e>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rPr>
                  <m:t>2</m:t>
                </m:r>
              </m:sup>
            </m:sSup>
          </m:e>
        </m:nary>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λ</m:t>
                </m:r>
              </m:num>
              <m:den>
                <m:r>
                  <w:rPr>
                    <w:rFonts w:ascii="Cambria Math" w:hAnsi="Cambria Math"/>
                    <w:sz w:val="18"/>
                    <w:szCs w:val="18"/>
                  </w:rPr>
                  <m:t>2</m:t>
                </m:r>
                <m:r>
                  <w:rPr>
                    <w:rFonts w:ascii="Cambria Math" w:hAnsi="Cambria Math"/>
                    <w:sz w:val="18"/>
                    <w:szCs w:val="18"/>
                    <w:lang w:val="en-US"/>
                  </w:rPr>
                  <m:t>π</m:t>
                </m:r>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rPr>
                      <m:t>3</m:t>
                    </m:r>
                  </m:sup>
                </m:sSup>
              </m:den>
            </m:f>
          </m:e>
        </m:rad>
        <m:func>
          <m:funcPr>
            <m:ctrlPr>
              <w:rPr>
                <w:rFonts w:ascii="Cambria Math" w:hAnsi="Cambria Math"/>
                <w:i/>
                <w:sz w:val="18"/>
                <w:szCs w:val="18"/>
                <w:lang w:val="en-US"/>
              </w:rPr>
            </m:ctrlPr>
          </m:funcPr>
          <m:fName>
            <m:r>
              <w:rPr>
                <w:rFonts w:ascii="Cambria Math" w:hAnsi="Cambria Math"/>
                <w:sz w:val="18"/>
                <w:szCs w:val="18"/>
                <w:lang w:val="en-US"/>
              </w:rPr>
              <m:t>exp</m:t>
            </m:r>
          </m:fName>
          <m:e>
            <m:r>
              <w:rPr>
                <w:rFonts w:ascii="Cambria Math" w:hAnsi="Cambria Math"/>
                <w:sz w:val="18"/>
                <w:szCs w:val="18"/>
              </w:rPr>
              <m:t>(</m:t>
            </m:r>
          </m:e>
        </m:func>
        <m:r>
          <w:rPr>
            <w:rFonts w:ascii="Cambria Math" w:hAnsi="Cambria Math"/>
            <w:sz w:val="18"/>
            <w:szCs w:val="18"/>
          </w:rPr>
          <m:t>-</m:t>
        </m:r>
        <m:f>
          <m:fPr>
            <m:ctrlPr>
              <w:rPr>
                <w:rFonts w:ascii="Cambria Math" w:hAnsi="Cambria Math"/>
                <w:i/>
                <w:sz w:val="18"/>
                <w:szCs w:val="18"/>
                <w:lang w:val="en-US"/>
              </w:rPr>
            </m:ctrlPr>
          </m:fPr>
          <m:num>
            <m:r>
              <w:rPr>
                <w:rFonts w:ascii="Cambria Math" w:hAnsi="Cambria Math"/>
                <w:sz w:val="18"/>
                <w:szCs w:val="18"/>
                <w:lang w:val="en-US"/>
              </w:rPr>
              <m:t>λ</m:t>
            </m:r>
            <m:r>
              <w:rPr>
                <w:rFonts w:ascii="Cambria Math" w:hAnsi="Cambria Math"/>
                <w:sz w:val="18"/>
                <w:szCs w:val="18"/>
              </w:rPr>
              <m:t>(</m:t>
            </m:r>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2</m:t>
                </m:r>
              </m:sup>
            </m:sSup>
          </m:num>
          <m:den>
            <m:r>
              <w:rPr>
                <w:rFonts w:ascii="Cambria Math" w:hAnsi="Cambria Math"/>
                <w:sz w:val="18"/>
                <w:szCs w:val="18"/>
              </w:rPr>
              <m:t>2</m:t>
            </m:r>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rPr>
                  <m:t>2</m:t>
                </m:r>
              </m:sup>
            </m:sSup>
            <m:r>
              <w:rPr>
                <w:rFonts w:ascii="Cambria Math" w:hAnsi="Cambria Math"/>
                <w:sz w:val="18"/>
                <w:szCs w:val="18"/>
                <w:lang w:val="en-US"/>
              </w:rPr>
              <m:t>t</m:t>
            </m:r>
          </m:den>
        </m:f>
        <m:r>
          <w:rPr>
            <w:rFonts w:ascii="Cambria Math" w:hAnsi="Cambria Math"/>
            <w:sz w:val="18"/>
            <w:szCs w:val="18"/>
          </w:rPr>
          <m:t>)</m:t>
        </m:r>
        <m:r>
          <w:rPr>
            <w:rFonts w:ascii="Cambria Math" w:hAnsi="Cambria Math"/>
            <w:sz w:val="18"/>
            <w:szCs w:val="18"/>
            <w:lang w:val="en-US"/>
          </w:rPr>
          <m:t>dt</m:t>
        </m:r>
        <m:r>
          <w:rPr>
            <w:rFonts w:ascii="Cambria Math" w:hAnsi="Cambria Math"/>
            <w:sz w:val="18"/>
            <w:szCs w:val="18"/>
          </w:rPr>
          <m:t>=</m:t>
        </m:r>
        <m:f>
          <m:fPr>
            <m:ctrlPr>
              <w:rPr>
                <w:rFonts w:ascii="Cambria Math" w:hAnsi="Cambria Math"/>
                <w:i/>
                <w:sz w:val="18"/>
                <w:szCs w:val="18"/>
                <w:lang w:val="en-US"/>
              </w:rPr>
            </m:ctrlPr>
          </m:fPr>
          <m:num>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rPr>
                  <m:t>3</m:t>
                </m:r>
              </m:sup>
            </m:sSup>
          </m:num>
          <m:den>
            <m:r>
              <w:rPr>
                <w:rFonts w:ascii="Cambria Math" w:hAnsi="Cambria Math"/>
                <w:sz w:val="18"/>
                <w:szCs w:val="18"/>
                <w:lang w:val="en-US"/>
              </w:rPr>
              <m:t>λ</m:t>
            </m:r>
          </m:den>
        </m:f>
        <m:r>
          <w:rPr>
            <w:rFonts w:ascii="Cambria Math" w:hAnsi="Cambria Math"/>
            <w:sz w:val="18"/>
            <w:szCs w:val="18"/>
          </w:rPr>
          <m:t>+</m:t>
        </m:r>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rPr>
              <m:t>2</m:t>
            </m:r>
          </m:sup>
        </m:sSup>
      </m:oMath>
      <w:r>
        <w:rPr>
          <w:rFonts w:ascii="Cambria Math" w:hAnsi="Cambria Math"/>
        </w:rPr>
        <w:tab/>
        <w:t>(2)</w:t>
      </w:r>
    </w:p>
    <w:p w14:paraId="71A252A5" w14:textId="77777777" w:rsidR="00097C63" w:rsidRDefault="00FB6D14">
      <w:pPr>
        <w:pStyle w:val="tekstgowny"/>
      </w:pPr>
      <w:r>
        <w:t xml:space="preserve">The variance of the </w:t>
      </w:r>
      <w:r>
        <w:rPr>
          <w:rFonts w:hint="eastAsia"/>
        </w:rPr>
        <w:t xml:space="preserve">the </w:t>
      </w:r>
      <w:r>
        <w:t>I</w:t>
      </w:r>
      <w:r>
        <w:rPr>
          <w:rFonts w:hint="eastAsia"/>
        </w:rPr>
        <w:t>G</w:t>
      </w:r>
      <w:r>
        <w:t xml:space="preserve"> distribution can be expressed by formula (3):</w:t>
      </w:r>
    </w:p>
    <w:p w14:paraId="6D26E273" w14:textId="77777777" w:rsidR="00097C63" w:rsidRDefault="00FB6D14">
      <w:pPr>
        <w:pStyle w:val="tekstgowny"/>
        <w:ind w:firstLine="0"/>
        <w:jc w:val="right"/>
        <w:rPr>
          <w:rFonts w:ascii="Cambria Math" w:hAnsi="Cambria Math"/>
          <w:lang w:val="en-US"/>
        </w:rPr>
      </w:pPr>
      <m:oMath>
        <m:r>
          <w:rPr>
            <w:rFonts w:ascii="Cambria Math" w:hAnsi="Cambria Math"/>
            <w:sz w:val="18"/>
            <w:szCs w:val="18"/>
            <w:lang w:val="en-US"/>
          </w:rPr>
          <m:t>D(t)=E(</m:t>
        </m:r>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lang w:val="en-US"/>
              </w:rPr>
              <m:t>2</m:t>
            </m:r>
          </m:sup>
        </m:sSup>
        <m:r>
          <w:rPr>
            <w:rFonts w:ascii="Cambria Math" w:hAnsi="Cambria Math"/>
            <w:sz w:val="18"/>
            <w:szCs w:val="18"/>
            <w:lang w:val="en-US"/>
          </w:rPr>
          <m:t>)-</m:t>
        </m:r>
        <m:sSup>
          <m:sSupPr>
            <m:ctrlPr>
              <w:rPr>
                <w:rFonts w:ascii="Cambria Math" w:hAnsi="Cambria Math"/>
                <w:i/>
                <w:sz w:val="18"/>
                <w:szCs w:val="18"/>
                <w:lang w:val="en-US"/>
              </w:rPr>
            </m:ctrlPr>
          </m:sSupPr>
          <m:e>
            <m:d>
              <m:dPr>
                <m:begChr m:val="["/>
                <m:endChr m:val="]"/>
                <m:ctrlPr>
                  <w:rPr>
                    <w:rFonts w:ascii="Cambria Math" w:hAnsi="Cambria Math"/>
                    <w:i/>
                    <w:sz w:val="18"/>
                    <w:szCs w:val="18"/>
                    <w:lang w:val="en-US"/>
                  </w:rPr>
                </m:ctrlPr>
              </m:dPr>
              <m:e>
                <m:r>
                  <w:rPr>
                    <w:rFonts w:ascii="Cambria Math" w:hAnsi="Cambria Math"/>
                    <w:sz w:val="18"/>
                    <w:szCs w:val="18"/>
                    <w:lang w:val="en-US"/>
                  </w:rPr>
                  <m:t>E(t)</m:t>
                </m:r>
              </m:e>
            </m:d>
          </m:e>
          <m:sup>
            <m:r>
              <w:rPr>
                <w:rFonts w:ascii="Cambria Math" w:hAnsi="Cambria Math"/>
                <w:sz w:val="18"/>
                <w:szCs w:val="18"/>
                <w:lang w:val="en-US"/>
              </w:rPr>
              <m:t>2</m:t>
            </m:r>
          </m:sup>
        </m:sSup>
        <m:r>
          <w:rPr>
            <w:rFonts w:ascii="Cambria Math" w:hAnsi="Cambria Math"/>
            <w:sz w:val="18"/>
            <w:szCs w:val="18"/>
            <w:lang w:val="en-US"/>
          </w:rPr>
          <m:t>=</m:t>
        </m:r>
        <m:f>
          <m:fPr>
            <m:ctrlPr>
              <w:rPr>
                <w:rFonts w:ascii="Cambria Math" w:hAnsi="Cambria Math"/>
                <w:i/>
                <w:sz w:val="18"/>
                <w:szCs w:val="18"/>
                <w:lang w:val="en-US"/>
              </w:rPr>
            </m:ctrlPr>
          </m:fPr>
          <m:num>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lang w:val="en-US"/>
                  </w:rPr>
                  <m:t>3</m:t>
                </m:r>
              </m:sup>
            </m:sSup>
          </m:num>
          <m:den>
            <m:r>
              <w:rPr>
                <w:rFonts w:ascii="Cambria Math" w:hAnsi="Cambria Math"/>
                <w:sz w:val="18"/>
                <w:szCs w:val="18"/>
                <w:lang w:val="en-US"/>
              </w:rPr>
              <m:t>λ</m:t>
            </m:r>
          </m:den>
        </m:f>
      </m:oMath>
      <w:r>
        <w:rPr>
          <w:rFonts w:ascii="Cambria Math" w:hAnsi="Cambria Math"/>
        </w:rPr>
        <w:tab/>
        <w:t>(3)</w:t>
      </w:r>
    </w:p>
    <w:p w14:paraId="5D3428C9" w14:textId="77777777" w:rsidR="00097C63" w:rsidRDefault="00FB6D14">
      <w:pPr>
        <w:pStyle w:val="tekstgowny"/>
      </w:pPr>
      <w:r>
        <w:t>The skewness of I</w:t>
      </w:r>
      <w:r>
        <w:rPr>
          <w:rFonts w:hint="eastAsia"/>
        </w:rPr>
        <w:t>G</w:t>
      </w:r>
      <w:r>
        <w:t xml:space="preserve"> distribution can be calculated using the third central moment, as shown in formula (4):</w:t>
      </w:r>
    </w:p>
    <w:p w14:paraId="36006406" w14:textId="77777777" w:rsidR="00097C63" w:rsidRDefault="00FB6D14">
      <w:pPr>
        <w:pStyle w:val="tekstgowny"/>
        <w:ind w:firstLine="0"/>
        <w:jc w:val="right"/>
        <w:rPr>
          <w:rFonts w:ascii="Cambria Math" w:hAnsi="Cambria Math"/>
        </w:rPr>
      </w:pPr>
      <m:oMath>
        <m:r>
          <w:rPr>
            <w:rFonts w:ascii="Cambria Math" w:hAnsi="Cambria Math"/>
            <w:sz w:val="18"/>
            <w:szCs w:val="18"/>
            <w:lang w:val="en-US"/>
          </w:rPr>
          <m:t>E</m:t>
        </m:r>
        <m:r>
          <w:rPr>
            <w:rFonts w:ascii="Cambria Math" w:hAnsi="Cambria Math"/>
            <w:sz w:val="18"/>
            <w:szCs w:val="18"/>
          </w:rPr>
          <m:t>(</m:t>
        </m:r>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3</m:t>
            </m:r>
          </m:sup>
        </m:sSup>
        <m:r>
          <w:rPr>
            <w:rFonts w:ascii="Cambria Math" w:hAnsi="Cambria Math"/>
            <w:sz w:val="18"/>
            <w:szCs w:val="18"/>
          </w:rPr>
          <m:t>=</m:t>
        </m:r>
        <m:nary>
          <m:naryPr>
            <m:ctrlPr>
              <w:rPr>
                <w:rFonts w:ascii="Cambria Math" w:hAnsi="Cambria Math"/>
                <w:i/>
                <w:sz w:val="18"/>
                <w:szCs w:val="18"/>
                <w:lang w:val="en-US"/>
              </w:rPr>
            </m:ctrlPr>
          </m:naryPr>
          <m:sub>
            <m:r>
              <w:rPr>
                <w:rFonts w:ascii="Cambria Math" w:hAnsi="Cambria Math"/>
                <w:sz w:val="18"/>
                <w:szCs w:val="18"/>
              </w:rPr>
              <m:t>0</m:t>
            </m:r>
          </m:sub>
          <m:sup>
            <m:r>
              <w:rPr>
                <w:rFonts w:ascii="Cambria Math" w:hAnsi="Cambria Math"/>
                <w:sz w:val="18"/>
                <w:szCs w:val="18"/>
              </w:rPr>
              <m:t>∞</m:t>
            </m:r>
          </m:sup>
          <m:e>
            <m:r>
              <w:rPr>
                <w:rFonts w:ascii="Cambria Math" w:hAnsi="Cambria Math"/>
                <w:sz w:val="18"/>
                <w:szCs w:val="18"/>
              </w:rPr>
              <m:t>(</m:t>
            </m:r>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3</m:t>
                </m:r>
              </m:sup>
            </m:sSup>
          </m:e>
        </m:nary>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λ</m:t>
                </m:r>
              </m:num>
              <m:den>
                <m:r>
                  <w:rPr>
                    <w:rFonts w:ascii="Cambria Math" w:hAnsi="Cambria Math"/>
                    <w:sz w:val="18"/>
                    <w:szCs w:val="18"/>
                  </w:rPr>
                  <m:t>2</m:t>
                </m:r>
                <m:r>
                  <w:rPr>
                    <w:rFonts w:ascii="Cambria Math" w:hAnsi="Cambria Math"/>
                    <w:sz w:val="18"/>
                    <w:szCs w:val="18"/>
                    <w:lang w:val="en-US"/>
                  </w:rPr>
                  <m:t>π</m:t>
                </m:r>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rPr>
                      <m:t>3</m:t>
                    </m:r>
                  </m:sup>
                </m:sSup>
              </m:den>
            </m:f>
          </m:e>
        </m:rad>
        <m:func>
          <m:funcPr>
            <m:ctrlPr>
              <w:rPr>
                <w:rFonts w:ascii="Cambria Math" w:hAnsi="Cambria Math"/>
                <w:i/>
                <w:sz w:val="18"/>
                <w:szCs w:val="18"/>
                <w:lang w:val="en-US"/>
              </w:rPr>
            </m:ctrlPr>
          </m:funcPr>
          <m:fName>
            <m:r>
              <w:rPr>
                <w:rFonts w:ascii="Cambria Math" w:hAnsi="Cambria Math"/>
                <w:sz w:val="18"/>
                <w:szCs w:val="18"/>
                <w:lang w:val="en-US"/>
              </w:rPr>
              <m:t>exp</m:t>
            </m:r>
          </m:fName>
          <m:e>
            <m:r>
              <w:rPr>
                <w:rFonts w:ascii="Cambria Math" w:hAnsi="Cambria Math"/>
                <w:sz w:val="18"/>
                <w:szCs w:val="18"/>
              </w:rPr>
              <m:t>(</m:t>
            </m:r>
          </m:e>
        </m:func>
        <m:r>
          <w:rPr>
            <w:rFonts w:ascii="Cambria Math" w:hAnsi="Cambria Math"/>
            <w:sz w:val="18"/>
            <w:szCs w:val="18"/>
          </w:rPr>
          <m:t>-</m:t>
        </m:r>
        <m:f>
          <m:fPr>
            <m:ctrlPr>
              <w:rPr>
                <w:rFonts w:ascii="Cambria Math" w:hAnsi="Cambria Math"/>
                <w:i/>
                <w:sz w:val="18"/>
                <w:szCs w:val="18"/>
                <w:lang w:val="en-US"/>
              </w:rPr>
            </m:ctrlPr>
          </m:fPr>
          <m:num>
            <m:r>
              <w:rPr>
                <w:rFonts w:ascii="Cambria Math" w:hAnsi="Cambria Math"/>
                <w:sz w:val="18"/>
                <w:szCs w:val="18"/>
                <w:lang w:val="en-US"/>
              </w:rPr>
              <m:t>λ</m:t>
            </m:r>
            <m:r>
              <w:rPr>
                <w:rFonts w:ascii="Cambria Math" w:hAnsi="Cambria Math"/>
                <w:sz w:val="18"/>
                <w:szCs w:val="18"/>
              </w:rPr>
              <m:t>(</m:t>
            </m:r>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2</m:t>
                </m:r>
              </m:sup>
            </m:sSup>
          </m:num>
          <m:den>
            <m:r>
              <w:rPr>
                <w:rFonts w:ascii="Cambria Math" w:hAnsi="Cambria Math"/>
                <w:sz w:val="18"/>
                <w:szCs w:val="18"/>
              </w:rPr>
              <m:t>2</m:t>
            </m:r>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rPr>
                  <m:t>2</m:t>
                </m:r>
              </m:sup>
            </m:sSup>
            <m:r>
              <w:rPr>
                <w:rFonts w:ascii="Cambria Math" w:hAnsi="Cambria Math"/>
                <w:sz w:val="18"/>
                <w:szCs w:val="18"/>
                <w:lang w:val="en-US"/>
              </w:rPr>
              <m:t>t</m:t>
            </m:r>
          </m:den>
        </m:f>
        <m:r>
          <w:rPr>
            <w:rFonts w:ascii="Cambria Math" w:hAnsi="Cambria Math"/>
            <w:sz w:val="18"/>
            <w:szCs w:val="18"/>
          </w:rPr>
          <m:t>)</m:t>
        </m:r>
        <m:r>
          <w:rPr>
            <w:rFonts w:ascii="Cambria Math" w:hAnsi="Cambria Math"/>
            <w:sz w:val="18"/>
            <w:szCs w:val="18"/>
            <w:lang w:val="en-US"/>
          </w:rPr>
          <m:t>dt</m:t>
        </m:r>
        <m:r>
          <w:rPr>
            <w:rFonts w:ascii="Cambria Math" w:hAnsi="Cambria Math"/>
            <w:sz w:val="18"/>
            <w:szCs w:val="18"/>
          </w:rPr>
          <m:t>=3</m:t>
        </m:r>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u</m:t>
                </m:r>
              </m:num>
              <m:den>
                <m:r>
                  <w:rPr>
                    <w:rFonts w:ascii="Cambria Math" w:hAnsi="Cambria Math"/>
                    <w:sz w:val="18"/>
                    <w:szCs w:val="18"/>
                    <w:lang w:val="en-US"/>
                  </w:rPr>
                  <m:t>λ</m:t>
                </m:r>
              </m:den>
            </m:f>
          </m:e>
        </m:rad>
      </m:oMath>
      <w:r>
        <w:rPr>
          <w:rFonts w:ascii="Cambria Math" w:hAnsi="Cambria Math"/>
        </w:rPr>
        <w:tab/>
        <w:t>(4)</w:t>
      </w:r>
    </w:p>
    <w:p w14:paraId="332F4CA9" w14:textId="77777777" w:rsidR="00097C63" w:rsidRDefault="00FB6D14">
      <w:pPr>
        <w:pStyle w:val="tekstgowny"/>
        <w:rPr>
          <w:rFonts w:ascii="Cambria Math" w:hAnsi="Cambria Math"/>
        </w:rPr>
      </w:pPr>
      <w:r>
        <w:rPr>
          <w:rFonts w:ascii="Cambria Math" w:hAnsi="Cambria Math"/>
        </w:rPr>
        <w:t>The kurtosis of IG distribution can be calculated using the fourth central moment, as shown in formula (5):</w:t>
      </w:r>
    </w:p>
    <w:p w14:paraId="1C6D048F" w14:textId="77777777" w:rsidR="00097C63" w:rsidRDefault="00FB6D14">
      <w:pPr>
        <w:pStyle w:val="tekstgowny"/>
        <w:ind w:firstLine="0"/>
        <w:jc w:val="right"/>
        <w:rPr>
          <w:rFonts w:ascii="Cambria Math" w:hAnsi="Cambria Math"/>
        </w:rPr>
      </w:pPr>
      <m:oMath>
        <m:r>
          <w:rPr>
            <w:rFonts w:ascii="Cambria Math" w:hAnsi="Cambria Math"/>
            <w:sz w:val="18"/>
            <w:szCs w:val="18"/>
            <w:lang w:val="en-US"/>
          </w:rPr>
          <m:t>E</m:t>
        </m:r>
        <m:d>
          <m:dPr>
            <m:ctrlPr>
              <w:rPr>
                <w:rFonts w:ascii="Cambria Math" w:hAnsi="Cambria Math"/>
                <w:i/>
                <w:sz w:val="18"/>
                <w:szCs w:val="18"/>
                <w:lang w:val="en-US"/>
              </w:rPr>
            </m:ctrlPr>
          </m:dPr>
          <m:e>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4</m:t>
                </m:r>
              </m:sup>
            </m:sSup>
            <m:r>
              <w:rPr>
                <w:rFonts w:ascii="Cambria Math" w:hAnsi="Cambria Math"/>
                <w:sz w:val="18"/>
                <w:szCs w:val="18"/>
              </w:rPr>
              <m:t>=</m:t>
            </m:r>
            <m:nary>
              <m:naryPr>
                <m:ctrlPr>
                  <w:rPr>
                    <w:rFonts w:ascii="Cambria Math" w:hAnsi="Cambria Math"/>
                    <w:i/>
                    <w:sz w:val="18"/>
                    <w:szCs w:val="18"/>
                    <w:lang w:val="en-US"/>
                  </w:rPr>
                </m:ctrlPr>
              </m:naryPr>
              <m:sub>
                <m:r>
                  <w:rPr>
                    <w:rFonts w:ascii="Cambria Math" w:hAnsi="Cambria Math"/>
                    <w:sz w:val="18"/>
                    <w:szCs w:val="18"/>
                  </w:rPr>
                  <m:t>0</m:t>
                </m:r>
              </m:sub>
              <m:sup>
                <m:r>
                  <w:rPr>
                    <w:rFonts w:ascii="Cambria Math" w:hAnsi="Cambria Math"/>
                    <w:sz w:val="18"/>
                    <w:szCs w:val="18"/>
                  </w:rPr>
                  <m:t>∞</m:t>
                </m:r>
              </m:sup>
              <m:e>
                <m:r>
                  <w:rPr>
                    <w:rFonts w:ascii="Cambria Math" w:hAnsi="Cambria Math"/>
                    <w:sz w:val="18"/>
                    <w:szCs w:val="18"/>
                  </w:rPr>
                  <m:t>(</m:t>
                </m:r>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4</m:t>
                    </m:r>
                  </m:sup>
                </m:sSup>
              </m:e>
            </m:nary>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λ</m:t>
                    </m:r>
                  </m:num>
                  <m:den>
                    <m:r>
                      <w:rPr>
                        <w:rFonts w:ascii="Cambria Math" w:hAnsi="Cambria Math"/>
                        <w:sz w:val="18"/>
                        <w:szCs w:val="18"/>
                      </w:rPr>
                      <m:t>2</m:t>
                    </m:r>
                    <m:r>
                      <w:rPr>
                        <w:rFonts w:ascii="Cambria Math" w:hAnsi="Cambria Math"/>
                        <w:sz w:val="18"/>
                        <w:szCs w:val="18"/>
                        <w:lang w:val="en-US"/>
                      </w:rPr>
                      <m:t>π</m:t>
                    </m:r>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rPr>
                          <m:t>3</m:t>
                        </m:r>
                      </m:sup>
                    </m:sSup>
                  </m:den>
                </m:f>
              </m:e>
            </m:rad>
            <m:func>
              <m:funcPr>
                <m:ctrlPr>
                  <w:rPr>
                    <w:rFonts w:ascii="Cambria Math" w:hAnsi="Cambria Math"/>
                    <w:i/>
                    <w:sz w:val="18"/>
                    <w:szCs w:val="18"/>
                    <w:lang w:val="en-US"/>
                  </w:rPr>
                </m:ctrlPr>
              </m:funcPr>
              <m:fName>
                <m:r>
                  <w:rPr>
                    <w:rFonts w:ascii="Cambria Math" w:hAnsi="Cambria Math"/>
                    <w:sz w:val="18"/>
                    <w:szCs w:val="18"/>
                    <w:lang w:val="en-US"/>
                  </w:rPr>
                  <m:t>exp</m:t>
                </m:r>
              </m:fName>
              <m:e>
                <m:r>
                  <w:rPr>
                    <w:rFonts w:ascii="Cambria Math" w:hAnsi="Cambria Math"/>
                    <w:sz w:val="18"/>
                    <w:szCs w:val="18"/>
                  </w:rPr>
                  <m:t>(</m:t>
                </m:r>
              </m:e>
            </m:func>
            <m:r>
              <w:rPr>
                <w:rFonts w:ascii="Cambria Math" w:hAnsi="Cambria Math"/>
                <w:sz w:val="18"/>
                <w:szCs w:val="18"/>
              </w:rPr>
              <m:t>-</m:t>
            </m:r>
            <m:f>
              <m:fPr>
                <m:ctrlPr>
                  <w:rPr>
                    <w:rFonts w:ascii="Cambria Math" w:hAnsi="Cambria Math"/>
                    <w:i/>
                    <w:sz w:val="18"/>
                    <w:szCs w:val="18"/>
                    <w:lang w:val="en-US"/>
                  </w:rPr>
                </m:ctrlPr>
              </m:fPr>
              <m:num>
                <m:r>
                  <w:rPr>
                    <w:rFonts w:ascii="Cambria Math" w:hAnsi="Cambria Math"/>
                    <w:sz w:val="18"/>
                    <w:szCs w:val="18"/>
                    <w:lang w:val="en-US"/>
                  </w:rPr>
                  <m:t>λ</m:t>
                </m:r>
                <m:r>
                  <w:rPr>
                    <w:rFonts w:ascii="Cambria Math" w:hAnsi="Cambria Math"/>
                    <w:sz w:val="18"/>
                    <w:szCs w:val="18"/>
                  </w:rPr>
                  <m:t>(</m:t>
                </m:r>
                <m:r>
                  <w:rPr>
                    <w:rFonts w:ascii="Cambria Math" w:hAnsi="Cambria Math"/>
                    <w:sz w:val="18"/>
                    <w:szCs w:val="18"/>
                    <w:lang w:val="en-US"/>
                  </w:rPr>
                  <m:t>t</m:t>
                </m:r>
                <m:r>
                  <w:rPr>
                    <w:rFonts w:ascii="Cambria Math" w:hAnsi="Cambria Math"/>
                    <w:sz w:val="18"/>
                    <w:szCs w:val="18"/>
                  </w:rPr>
                  <m:t>-</m:t>
                </m:r>
                <m:r>
                  <w:rPr>
                    <w:rFonts w:ascii="Cambria Math" w:hAnsi="Cambria Math"/>
                    <w:sz w:val="18"/>
                    <w:szCs w:val="18"/>
                    <w:lang w:val="en-US"/>
                  </w:rPr>
                  <m:t>u</m:t>
                </m:r>
                <m:sSup>
                  <m:sSupPr>
                    <m:ctrlPr>
                      <w:rPr>
                        <w:rFonts w:ascii="Cambria Math" w:hAnsi="Cambria Math"/>
                        <w:i/>
                        <w:sz w:val="18"/>
                        <w:szCs w:val="18"/>
                        <w:lang w:val="en-US"/>
                      </w:rPr>
                    </m:ctrlPr>
                  </m:sSupPr>
                  <m:e>
                    <m:r>
                      <w:rPr>
                        <w:rFonts w:ascii="Cambria Math" w:hAnsi="Cambria Math"/>
                        <w:sz w:val="18"/>
                        <w:szCs w:val="18"/>
                      </w:rPr>
                      <m:t>)</m:t>
                    </m:r>
                  </m:e>
                  <m:sup>
                    <m:r>
                      <w:rPr>
                        <w:rFonts w:ascii="Cambria Math" w:hAnsi="Cambria Math"/>
                        <w:sz w:val="18"/>
                        <w:szCs w:val="18"/>
                      </w:rPr>
                      <m:t>2</m:t>
                    </m:r>
                  </m:sup>
                </m:sSup>
              </m:num>
              <m:den>
                <m:r>
                  <w:rPr>
                    <w:rFonts w:ascii="Cambria Math" w:hAnsi="Cambria Math"/>
                    <w:sz w:val="18"/>
                    <w:szCs w:val="18"/>
                  </w:rPr>
                  <m:t>2</m:t>
                </m:r>
                <m:sSup>
                  <m:sSupPr>
                    <m:ctrlPr>
                      <w:rPr>
                        <w:rFonts w:ascii="Cambria Math" w:hAnsi="Cambria Math"/>
                        <w:i/>
                        <w:sz w:val="18"/>
                        <w:szCs w:val="18"/>
                        <w:lang w:val="en-US"/>
                      </w:rPr>
                    </m:ctrlPr>
                  </m:sSupPr>
                  <m:e>
                    <m:r>
                      <w:rPr>
                        <w:rFonts w:ascii="Cambria Math" w:hAnsi="Cambria Math"/>
                        <w:sz w:val="18"/>
                        <w:szCs w:val="18"/>
                        <w:lang w:val="en-US"/>
                      </w:rPr>
                      <m:t>u</m:t>
                    </m:r>
                  </m:e>
                  <m:sup>
                    <m:r>
                      <w:rPr>
                        <w:rFonts w:ascii="Cambria Math" w:hAnsi="Cambria Math"/>
                        <w:sz w:val="18"/>
                        <w:szCs w:val="18"/>
                      </w:rPr>
                      <m:t>2</m:t>
                    </m:r>
                  </m:sup>
                </m:sSup>
                <m:r>
                  <w:rPr>
                    <w:rFonts w:ascii="Cambria Math" w:hAnsi="Cambria Math"/>
                    <w:sz w:val="18"/>
                    <w:szCs w:val="18"/>
                    <w:lang w:val="en-US"/>
                  </w:rPr>
                  <m:t>t</m:t>
                </m:r>
              </m:den>
            </m:f>
          </m:e>
        </m:d>
        <m:r>
          <w:rPr>
            <w:rFonts w:ascii="Cambria Math" w:hAnsi="Cambria Math"/>
            <w:sz w:val="18"/>
            <w:szCs w:val="18"/>
            <w:lang w:val="en-US"/>
          </w:rPr>
          <m:t>dt</m:t>
        </m:r>
        <m:r>
          <w:rPr>
            <w:rFonts w:ascii="Cambria Math" w:hAnsi="Cambria Math"/>
            <w:sz w:val="18"/>
            <w:szCs w:val="18"/>
          </w:rPr>
          <m:t>=3+15</m:t>
        </m:r>
        <m:f>
          <m:fPr>
            <m:ctrlPr>
              <w:rPr>
                <w:rFonts w:ascii="Cambria Math" w:hAnsi="Cambria Math"/>
                <w:i/>
                <w:sz w:val="18"/>
                <w:szCs w:val="18"/>
                <w:lang w:val="en-US"/>
              </w:rPr>
            </m:ctrlPr>
          </m:fPr>
          <m:num>
            <m:r>
              <w:rPr>
                <w:rFonts w:ascii="Cambria Math" w:hAnsi="Cambria Math"/>
                <w:sz w:val="18"/>
                <w:szCs w:val="18"/>
                <w:lang w:val="en-US"/>
              </w:rPr>
              <m:t>u</m:t>
            </m:r>
          </m:num>
          <m:den>
            <m:r>
              <w:rPr>
                <w:rFonts w:ascii="Cambria Math" w:hAnsi="Cambria Math"/>
                <w:sz w:val="18"/>
                <w:szCs w:val="18"/>
                <w:lang w:val="en-US"/>
              </w:rPr>
              <m:t>λ</m:t>
            </m:r>
          </m:den>
        </m:f>
        <m:r>
          <w:rPr>
            <w:rFonts w:ascii="Cambria Math" w:hAnsi="Cambria Math"/>
            <w:sz w:val="18"/>
            <w:szCs w:val="18"/>
          </w:rPr>
          <m:t xml:space="preserve"> </m:t>
        </m:r>
      </m:oMath>
      <w:r>
        <w:rPr>
          <w:rFonts w:ascii="Cambria Math" w:hAnsi="Cambria Math"/>
        </w:rPr>
        <w:t>(5)</w:t>
      </w:r>
    </w:p>
    <w:p w14:paraId="1AD93E61" w14:textId="77777777" w:rsidR="00097C63" w:rsidRDefault="00FB6D14">
      <w:pPr>
        <w:pStyle w:val="tekstgowny"/>
        <w:rPr>
          <w:rFonts w:ascii="Cambria Math" w:hAnsi="Cambria Math"/>
          <w:lang w:val="en-US"/>
        </w:rPr>
      </w:pPr>
      <w:r>
        <w:rPr>
          <w:rFonts w:ascii="Cambria Math" w:hAnsi="Cambria Math"/>
          <w:lang w:val="en-US"/>
        </w:rPr>
        <w:t>For an I</w:t>
      </w:r>
      <w:r>
        <w:rPr>
          <w:rFonts w:ascii="Cambria Math" w:hAnsi="Cambria Math" w:hint="eastAsia"/>
          <w:lang w:val="en-US"/>
        </w:rPr>
        <w:t>G</w:t>
      </w:r>
      <w:r>
        <w:rPr>
          <w:rFonts w:ascii="Cambria Math" w:hAnsi="Cambria Math"/>
          <w:lang w:val="en-US"/>
        </w:rPr>
        <w:t xml:space="preserve"> random process {</w:t>
      </w:r>
      <w:r>
        <w:rPr>
          <w:rFonts w:ascii="Cambria Math" w:hAnsi="Cambria Math" w:hint="eastAsia"/>
          <w:i/>
          <w:iCs/>
          <w:lang w:val="en-US"/>
        </w:rPr>
        <w:t>L</w:t>
      </w:r>
      <w:r>
        <w:rPr>
          <w:rFonts w:ascii="Cambria Math" w:hAnsi="Cambria Math" w:hint="eastAsia"/>
          <w:lang w:val="en-US"/>
        </w:rPr>
        <w:t>(</w:t>
      </w:r>
      <w:r>
        <w:rPr>
          <w:rFonts w:ascii="Cambria Math" w:hAnsi="Cambria Math" w:hint="eastAsia"/>
          <w:i/>
          <w:iCs/>
          <w:lang w:val="en-US"/>
        </w:rPr>
        <w:t>t</w:t>
      </w:r>
      <w:r>
        <w:rPr>
          <w:rFonts w:ascii="Cambria Math" w:hAnsi="Cambria Math" w:hint="eastAsia"/>
          <w:lang w:val="en-US"/>
        </w:rPr>
        <w:t xml:space="preserve">), </w:t>
      </w:r>
      <w:r>
        <w:rPr>
          <w:rFonts w:ascii="Cambria Math" w:hAnsi="Cambria Math" w:hint="eastAsia"/>
          <w:i/>
          <w:iCs/>
          <w:lang w:val="en-US"/>
        </w:rPr>
        <w:t xml:space="preserve">t </w:t>
      </w:r>
      <w:r>
        <w:rPr>
          <w:rFonts w:ascii="Cambria Math" w:hAnsi="Cambria Math"/>
          <w:lang w:val="en-US"/>
        </w:rPr>
        <w:t xml:space="preserve">≥0}, </w:t>
      </w:r>
      <w:r>
        <w:rPr>
          <w:rFonts w:ascii="Cambria Math" w:hAnsi="Cambria Math" w:hint="eastAsia"/>
          <w:i/>
          <w:iCs/>
          <w:lang w:val="en-US"/>
        </w:rPr>
        <w:t>L</w:t>
      </w:r>
      <w:r>
        <w:rPr>
          <w:rFonts w:ascii="Cambria Math" w:hAnsi="Cambria Math" w:hint="eastAsia"/>
          <w:lang w:val="en-US"/>
        </w:rPr>
        <w:t xml:space="preserve">(0)=0 </w:t>
      </w:r>
      <w:r>
        <w:rPr>
          <w:rFonts w:ascii="Cambria Math" w:hAnsi="Cambria Math"/>
          <w:lang w:val="en-US"/>
        </w:rPr>
        <w:t xml:space="preserve">and </w:t>
      </w:r>
      <w:r>
        <w:rPr>
          <w:rFonts w:ascii="Cambria Math" w:hAnsi="Cambria Math" w:hint="eastAsia"/>
          <w:i/>
          <w:iCs/>
          <w:lang w:val="en-US"/>
        </w:rPr>
        <w:t>L</w:t>
      </w:r>
      <w:r>
        <w:rPr>
          <w:rFonts w:ascii="Cambria Math" w:hAnsi="Cambria Math" w:hint="eastAsia"/>
          <w:lang w:val="en-US"/>
        </w:rPr>
        <w:t>(</w:t>
      </w:r>
      <w:r>
        <w:rPr>
          <w:rFonts w:ascii="Cambria Math" w:hAnsi="Cambria Math" w:hint="eastAsia"/>
          <w:i/>
          <w:iCs/>
          <w:lang w:val="en-US"/>
        </w:rPr>
        <w:t>t</w:t>
      </w:r>
      <w:r>
        <w:rPr>
          <w:rFonts w:ascii="Cambria Math" w:hAnsi="Cambria Math" w:hint="eastAsia"/>
          <w:lang w:val="en-US"/>
        </w:rPr>
        <w:t xml:space="preserve">) </w:t>
      </w:r>
      <w:r>
        <w:rPr>
          <w:rFonts w:ascii="Cambria Math" w:hAnsi="Cambria Math"/>
          <w:lang w:val="en-US"/>
        </w:rPr>
        <w:t xml:space="preserve">has independent increments; for all </w:t>
      </w:r>
      <w:r>
        <w:rPr>
          <w:rFonts w:ascii="Cambria Math" w:hAnsi="Cambria Math"/>
          <w:i/>
          <w:iCs/>
          <w:lang w:val="en-US"/>
        </w:rPr>
        <w:t>t</w:t>
      </w:r>
      <w:r>
        <w:rPr>
          <w:rFonts w:ascii="Cambria Math" w:hAnsi="Cambria Math"/>
          <w:lang w:val="en-US"/>
        </w:rPr>
        <w:t xml:space="preserve">≥0 and </w:t>
      </w:r>
      <m:oMath>
        <m:r>
          <w:rPr>
            <w:rFonts w:ascii="Cambria Math" w:hAnsi="Cambria Math"/>
            <w:lang w:val="en-US"/>
          </w:rPr>
          <m:t>Δ</m:t>
        </m:r>
      </m:oMath>
      <w:r>
        <w:rPr>
          <w:rFonts w:ascii="Cambria Math" w:hAnsi="Cambria Math"/>
          <w:i/>
          <w:iCs/>
          <w:lang w:val="en-US"/>
        </w:rPr>
        <w:t>t</w:t>
      </w:r>
      <w:r>
        <w:rPr>
          <w:rFonts w:ascii="Cambria Math" w:hAnsi="Cambria Math"/>
          <w:lang w:val="en-US"/>
        </w:rPr>
        <w:t xml:space="preserve">&gt;0, </w:t>
      </w:r>
      <w:r>
        <w:rPr>
          <w:rFonts w:ascii="Cambria Math" w:hAnsi="Cambria Math" w:hint="eastAsia"/>
          <w:i/>
          <w:iCs/>
          <w:lang w:val="en-US"/>
        </w:rPr>
        <w:t>L</w:t>
      </w:r>
      <w:r>
        <w:rPr>
          <w:rFonts w:ascii="Cambria Math" w:hAnsi="Cambria Math"/>
          <w:lang w:val="en-US"/>
        </w:rPr>
        <w:t>(</w:t>
      </w:r>
      <w:r>
        <w:rPr>
          <w:rFonts w:ascii="Cambria Math" w:hAnsi="Cambria Math"/>
          <w:i/>
          <w:iCs/>
          <w:lang w:val="en-US"/>
        </w:rPr>
        <w:t>t</w:t>
      </w:r>
      <w:r>
        <w:rPr>
          <w:rFonts w:ascii="Cambria Math" w:hAnsi="Cambria Math" w:hint="eastAsia"/>
          <w:lang w:val="en-US"/>
        </w:rPr>
        <w:t>+</w:t>
      </w:r>
      <m:oMath>
        <m:r>
          <w:rPr>
            <w:rFonts w:ascii="Cambria Math" w:hAnsi="Cambria Math"/>
            <w:lang w:val="en-US"/>
          </w:rPr>
          <m:t>Δ</m:t>
        </m:r>
      </m:oMath>
      <w:r>
        <w:rPr>
          <w:rFonts w:ascii="Cambria Math" w:hAnsi="Cambria Math"/>
          <w:i/>
          <w:iCs/>
          <w:lang w:val="en-US"/>
        </w:rPr>
        <w:t>t</w:t>
      </w:r>
      <w:r>
        <w:rPr>
          <w:rFonts w:ascii="Cambria Math" w:hAnsi="Cambria Math"/>
          <w:lang w:val="en-US"/>
        </w:rPr>
        <w:t>)</w:t>
      </w:r>
      <w:r>
        <w:rPr>
          <w:rFonts w:ascii="Cambria Math" w:hAnsi="Cambria Math" w:hint="eastAsia"/>
          <w:lang w:val="en-US"/>
        </w:rPr>
        <w:t>-</w:t>
      </w:r>
      <w:r>
        <w:rPr>
          <w:rFonts w:ascii="Cambria Math" w:hAnsi="Cambria Math" w:hint="eastAsia"/>
          <w:i/>
          <w:iCs/>
          <w:lang w:val="en-US"/>
        </w:rPr>
        <w:t>L</w:t>
      </w:r>
      <w:r>
        <w:rPr>
          <w:rFonts w:ascii="Cambria Math" w:hAnsi="Cambria Math"/>
          <w:lang w:val="en-US"/>
        </w:rPr>
        <w:t>(</w:t>
      </w:r>
      <w:r>
        <w:rPr>
          <w:rFonts w:ascii="Cambria Math" w:hAnsi="Cambria Math"/>
          <w:i/>
          <w:iCs/>
          <w:lang w:val="en-US"/>
        </w:rPr>
        <w:t>t</w:t>
      </w:r>
      <w:r>
        <w:rPr>
          <w:rFonts w:ascii="Cambria Math" w:hAnsi="Cambria Math"/>
          <w:lang w:val="en-US"/>
        </w:rPr>
        <w:t>)~</w:t>
      </w:r>
      <w:r>
        <w:rPr>
          <w:rFonts w:ascii="Cambria Math" w:hAnsi="Cambria Math" w:hint="eastAsia"/>
          <w:lang w:val="en-US"/>
        </w:rPr>
        <w:t>IG</w:t>
      </w:r>
      <w:r>
        <w:rPr>
          <w:rFonts w:ascii="Cambria Math" w:hAnsi="Cambria Math"/>
          <w:lang w:val="en-US"/>
        </w:rPr>
        <w:t>(</w:t>
      </w:r>
      <w:r>
        <w:rPr>
          <w:rFonts w:ascii="Cambria Math" w:hAnsi="Cambria Math" w:hint="eastAsia"/>
          <w:i/>
          <w:iCs/>
          <w:lang w:val="en-US"/>
        </w:rPr>
        <w:t>u</w:t>
      </w:r>
      <w:r>
        <w:rPr>
          <w:rFonts w:ascii="Cambria Math" w:hAnsi="Cambria Math" w:hint="eastAsia"/>
          <w:lang w:val="en-US"/>
        </w:rPr>
        <w:t xml:space="preserve">, </w:t>
      </w:r>
      <w:r>
        <w:rPr>
          <w:rFonts w:ascii="Cambria Math" w:hAnsi="Cambria Math"/>
          <w:i/>
          <w:iCs/>
          <w:lang w:val="en-US"/>
        </w:rPr>
        <w:t>λ</w:t>
      </w:r>
      <w:r>
        <w:rPr>
          <w:rFonts w:ascii="Cambria Math" w:hAnsi="Cambria Math"/>
          <w:lang w:val="en-US"/>
        </w:rPr>
        <w:t>). The cumulative distribution function</w:t>
      </w:r>
      <w:r>
        <w:rPr>
          <w:rFonts w:ascii="Cambria Math" w:hAnsi="Cambria Math" w:hint="eastAsia"/>
          <w:lang w:val="en-US"/>
        </w:rPr>
        <w:t xml:space="preserve"> </w:t>
      </w:r>
      <w:r>
        <w:rPr>
          <w:rFonts w:ascii="Cambria Math" w:hAnsi="Cambria Math"/>
          <w:lang w:val="en-US"/>
        </w:rPr>
        <w:t>of the I</w:t>
      </w:r>
      <w:r>
        <w:rPr>
          <w:rFonts w:ascii="Cambria Math" w:hAnsi="Cambria Math" w:hint="eastAsia"/>
          <w:lang w:val="en-US"/>
        </w:rPr>
        <w:t>G</w:t>
      </w:r>
      <w:r>
        <w:rPr>
          <w:rFonts w:ascii="Cambria Math" w:hAnsi="Cambria Math"/>
          <w:lang w:val="en-US"/>
        </w:rPr>
        <w:t xml:space="preserve"> distribution is</w:t>
      </w:r>
      <w:r>
        <w:rPr>
          <w:rFonts w:ascii="Cambria Math" w:hAnsi="Cambria Math" w:hint="eastAsia"/>
          <w:lang w:val="en-US"/>
        </w:rPr>
        <w:t>:</w:t>
      </w:r>
    </w:p>
    <w:p w14:paraId="3A7A9A61" w14:textId="77777777" w:rsidR="00097C63" w:rsidRDefault="00FB6D14">
      <w:pPr>
        <w:pStyle w:val="tekstgowny"/>
        <w:ind w:firstLine="0"/>
        <w:jc w:val="right"/>
        <w:rPr>
          <w:rFonts w:ascii="Cambria Math" w:hAnsi="Cambria Math"/>
        </w:rPr>
      </w:pPr>
      <m:oMath>
        <m:r>
          <w:rPr>
            <w:rFonts w:ascii="Cambria Math" w:hAnsi="Cambria Math"/>
            <w:sz w:val="18"/>
            <w:szCs w:val="18"/>
            <w:lang w:val="en-US"/>
          </w:rPr>
          <m:t>F(t;u,λ)=Φ(</m:t>
        </m:r>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λ</m:t>
                </m:r>
              </m:num>
              <m:den>
                <m:r>
                  <w:rPr>
                    <w:rFonts w:ascii="Cambria Math" w:hAnsi="Cambria Math"/>
                    <w:sz w:val="18"/>
                    <w:szCs w:val="18"/>
                    <w:lang w:val="en-US"/>
                  </w:rPr>
                  <m:t>t</m:t>
                </m:r>
              </m:den>
            </m:f>
          </m:e>
        </m:rad>
        <m:r>
          <w:rPr>
            <w:rFonts w:ascii="Cambria Math" w:hAnsi="Cambria Math"/>
            <w:sz w:val="18"/>
            <w:szCs w:val="18"/>
            <w:lang w:val="en-US"/>
          </w:rPr>
          <m:t>(</m:t>
        </m:r>
        <m:f>
          <m:fPr>
            <m:ctrlPr>
              <w:rPr>
                <w:rFonts w:ascii="Cambria Math" w:hAnsi="Cambria Math"/>
                <w:i/>
                <w:sz w:val="18"/>
                <w:szCs w:val="18"/>
                <w:lang w:val="en-US"/>
              </w:rPr>
            </m:ctrlPr>
          </m:fPr>
          <m:num>
            <m:r>
              <w:rPr>
                <w:rFonts w:ascii="Cambria Math" w:hAnsi="Cambria Math"/>
                <w:sz w:val="18"/>
                <w:szCs w:val="18"/>
                <w:lang w:val="en-US"/>
              </w:rPr>
              <m:t>t</m:t>
            </m:r>
          </m:num>
          <m:den>
            <m:r>
              <w:rPr>
                <w:rFonts w:ascii="Cambria Math" w:hAnsi="Cambria Math"/>
                <w:sz w:val="18"/>
                <w:szCs w:val="18"/>
                <w:lang w:val="en-US"/>
              </w:rPr>
              <m:t>u</m:t>
            </m:r>
          </m:den>
        </m:f>
        <m:r>
          <w:rPr>
            <w:rFonts w:ascii="Cambria Math" w:hAnsi="Cambria Math"/>
            <w:sz w:val="18"/>
            <w:szCs w:val="18"/>
            <w:lang w:val="en-US"/>
          </w:rPr>
          <m:t>-1))+</m:t>
        </m:r>
        <m:func>
          <m:funcPr>
            <m:ctrlPr>
              <w:rPr>
                <w:rFonts w:ascii="Cambria Math" w:hAnsi="Cambria Math"/>
                <w:i/>
                <w:sz w:val="18"/>
                <w:szCs w:val="18"/>
                <w:lang w:val="en-US"/>
              </w:rPr>
            </m:ctrlPr>
          </m:funcPr>
          <m:fName>
            <m:r>
              <w:rPr>
                <w:rFonts w:ascii="Cambria Math" w:hAnsi="Cambria Math"/>
                <w:sz w:val="18"/>
                <w:szCs w:val="18"/>
                <w:lang w:val="en-US"/>
              </w:rPr>
              <m:t>exp</m:t>
            </m:r>
          </m:fName>
          <m:e>
            <m:r>
              <w:rPr>
                <w:rFonts w:ascii="Cambria Math" w:hAnsi="Cambria Math"/>
                <w:sz w:val="18"/>
                <w:szCs w:val="18"/>
                <w:lang w:val="en-US"/>
              </w:rPr>
              <m:t>(</m:t>
            </m:r>
          </m:e>
        </m:func>
        <m:f>
          <m:fPr>
            <m:ctrlPr>
              <w:rPr>
                <w:rFonts w:ascii="Cambria Math" w:hAnsi="Cambria Math"/>
                <w:i/>
                <w:sz w:val="18"/>
                <w:szCs w:val="18"/>
                <w:lang w:val="en-US"/>
              </w:rPr>
            </m:ctrlPr>
          </m:fPr>
          <m:num>
            <m:r>
              <w:rPr>
                <w:rFonts w:ascii="Cambria Math" w:hAnsi="Cambria Math"/>
                <w:sz w:val="18"/>
                <w:szCs w:val="18"/>
                <w:lang w:val="en-US"/>
              </w:rPr>
              <m:t>2λ</m:t>
            </m:r>
          </m:num>
          <m:den>
            <m:r>
              <w:rPr>
                <w:rFonts w:ascii="Cambria Math" w:hAnsi="Cambria Math"/>
                <w:sz w:val="18"/>
                <w:szCs w:val="18"/>
                <w:lang w:val="en-US"/>
              </w:rPr>
              <m:t>u</m:t>
            </m:r>
          </m:den>
        </m:f>
        <m:r>
          <w:rPr>
            <w:rFonts w:ascii="Cambria Math" w:hAnsi="Cambria Math"/>
            <w:sz w:val="18"/>
            <w:szCs w:val="18"/>
            <w:lang w:val="en-US"/>
          </w:rPr>
          <m:t>)Φ(</m:t>
        </m:r>
        <m:rad>
          <m:radPr>
            <m:degHide m:val="1"/>
            <m:ctrlPr>
              <w:rPr>
                <w:rFonts w:ascii="Cambria Math" w:hAnsi="Cambria Math"/>
                <w:i/>
                <w:sz w:val="18"/>
                <w:szCs w:val="18"/>
                <w:lang w:val="en-US"/>
              </w:rPr>
            </m:ctrlPr>
          </m:radPr>
          <m:deg/>
          <m:e>
            <m:f>
              <m:fPr>
                <m:ctrlPr>
                  <w:rPr>
                    <w:rFonts w:ascii="Cambria Math" w:hAnsi="Cambria Math"/>
                    <w:i/>
                    <w:sz w:val="18"/>
                    <w:szCs w:val="18"/>
                    <w:lang w:val="en-US"/>
                  </w:rPr>
                </m:ctrlPr>
              </m:fPr>
              <m:num>
                <m:r>
                  <w:rPr>
                    <w:rFonts w:ascii="Cambria Math" w:hAnsi="Cambria Math"/>
                    <w:sz w:val="18"/>
                    <w:szCs w:val="18"/>
                    <w:lang w:val="en-US"/>
                  </w:rPr>
                  <m:t>λ</m:t>
                </m:r>
              </m:num>
              <m:den>
                <m:r>
                  <w:rPr>
                    <w:rFonts w:ascii="Cambria Math" w:hAnsi="Cambria Math"/>
                    <w:sz w:val="18"/>
                    <w:szCs w:val="18"/>
                    <w:lang w:val="en-US"/>
                  </w:rPr>
                  <m:t>t</m:t>
                </m:r>
              </m:den>
            </m:f>
          </m:e>
        </m:rad>
        <m:r>
          <w:rPr>
            <w:rFonts w:ascii="Cambria Math" w:hAnsi="Cambria Math"/>
            <w:sz w:val="18"/>
            <w:szCs w:val="18"/>
            <w:lang w:val="en-US"/>
          </w:rPr>
          <m:t>(</m:t>
        </m:r>
        <m:f>
          <m:fPr>
            <m:ctrlPr>
              <w:rPr>
                <w:rFonts w:ascii="Cambria Math" w:hAnsi="Cambria Math"/>
                <w:i/>
                <w:sz w:val="18"/>
                <w:szCs w:val="18"/>
                <w:lang w:val="en-US"/>
              </w:rPr>
            </m:ctrlPr>
          </m:fPr>
          <m:num>
            <m:r>
              <w:rPr>
                <w:rFonts w:ascii="Cambria Math" w:hAnsi="Cambria Math"/>
                <w:sz w:val="18"/>
                <w:szCs w:val="18"/>
                <w:lang w:val="en-US"/>
              </w:rPr>
              <m:t>t</m:t>
            </m:r>
          </m:num>
          <m:den>
            <m:r>
              <w:rPr>
                <w:rFonts w:ascii="Cambria Math" w:hAnsi="Cambria Math"/>
                <w:sz w:val="18"/>
                <w:szCs w:val="18"/>
                <w:lang w:val="en-US"/>
              </w:rPr>
              <m:t>u</m:t>
            </m:r>
          </m:den>
        </m:f>
        <m:r>
          <w:rPr>
            <w:rFonts w:ascii="Cambria Math" w:hAnsi="Cambria Math"/>
            <w:sz w:val="18"/>
            <w:szCs w:val="18"/>
            <w:lang w:val="en-US"/>
          </w:rPr>
          <m:t xml:space="preserve">+1))    </m:t>
        </m:r>
      </m:oMath>
      <w:r>
        <w:rPr>
          <w:rFonts w:ascii="Cambria Math" w:hAnsi="Cambria Math"/>
        </w:rPr>
        <w:t>(6)</w:t>
      </w:r>
    </w:p>
    <w:p w14:paraId="2C2D2081" w14:textId="77777777" w:rsidR="00097C63" w:rsidRDefault="00FB6D14">
      <w:pPr>
        <w:pStyle w:val="tekstgowny"/>
        <w:rPr>
          <w:rFonts w:ascii="Cambria Math" w:hAnsi="Cambria Math"/>
        </w:rPr>
      </w:pPr>
      <w:r>
        <w:rPr>
          <w:rFonts w:ascii="Cambria Math" w:hAnsi="Cambria Math" w:hint="eastAsia"/>
          <w:lang w:val="en-US"/>
        </w:rPr>
        <w:t xml:space="preserve">Where </w:t>
      </w:r>
      <m:oMath>
        <m:r>
          <w:rPr>
            <w:rFonts w:ascii="Cambria Math" w:hAnsi="Cambria Math"/>
            <w:lang w:val="en-US"/>
          </w:rPr>
          <m:t>Φ</m:t>
        </m:r>
      </m:oMath>
      <w:r>
        <w:rPr>
          <w:rFonts w:ascii="Cambria Math" w:hAnsi="Cambria Math" w:hint="eastAsia"/>
          <w:lang w:val="en-US"/>
        </w:rPr>
        <w:t xml:space="preserve"> is the standard normal distribution's </w:t>
      </w:r>
      <w:r>
        <w:rPr>
          <w:rFonts w:ascii="Cambria Math" w:hAnsi="Cambria Math"/>
          <w:lang w:val="en-US"/>
        </w:rPr>
        <w:t>cumulative distribution function</w:t>
      </w:r>
      <w:r>
        <w:rPr>
          <w:rFonts w:ascii="Cambria Math" w:hAnsi="Cambria Math" w:hint="eastAsia"/>
          <w:lang w:val="en-US"/>
        </w:rPr>
        <w:t>, that is:</w:t>
      </w:r>
    </w:p>
    <w:p w14:paraId="2B66810F" w14:textId="77777777" w:rsidR="00097C63" w:rsidRDefault="00FB6D14">
      <w:pPr>
        <w:pStyle w:val="tekstgowny"/>
        <w:ind w:firstLine="0"/>
        <w:jc w:val="right"/>
        <w:rPr>
          <w:rFonts w:ascii="Cambria Math" w:hAnsi="Cambria Math"/>
        </w:rPr>
      </w:pPr>
      <m:oMath>
        <m:r>
          <w:rPr>
            <w:rFonts w:ascii="Cambria Math" w:hAnsi="Cambria Math"/>
            <w:sz w:val="18"/>
            <w:szCs w:val="18"/>
            <w:lang w:val="en-US"/>
          </w:rPr>
          <m:t>Φ(z)=</m:t>
        </m:r>
        <m:f>
          <m:fPr>
            <m:ctrlPr>
              <w:rPr>
                <w:rFonts w:ascii="Cambria Math" w:hAnsi="Cambria Math"/>
                <w:i/>
                <w:sz w:val="18"/>
                <w:szCs w:val="18"/>
                <w:lang w:val="en-US"/>
              </w:rPr>
            </m:ctrlPr>
          </m:fPr>
          <m:num>
            <m:r>
              <w:rPr>
                <w:rFonts w:ascii="Cambria Math" w:hAnsi="Cambria Math"/>
                <w:sz w:val="18"/>
                <w:szCs w:val="18"/>
                <w:lang w:val="en-US"/>
              </w:rPr>
              <m:t>1</m:t>
            </m:r>
          </m:num>
          <m:den>
            <m:rad>
              <m:radPr>
                <m:degHide m:val="1"/>
                <m:ctrlPr>
                  <w:rPr>
                    <w:rFonts w:ascii="Cambria Math" w:hAnsi="Cambria Math"/>
                    <w:i/>
                    <w:sz w:val="18"/>
                    <w:szCs w:val="18"/>
                    <w:lang w:val="en-US"/>
                  </w:rPr>
                </m:ctrlPr>
              </m:radPr>
              <m:deg/>
              <m:e>
                <m:r>
                  <w:rPr>
                    <w:rFonts w:ascii="Cambria Math" w:hAnsi="Cambria Math"/>
                    <w:sz w:val="18"/>
                    <w:szCs w:val="18"/>
                    <w:lang w:val="en-US"/>
                  </w:rPr>
                  <m:t>2π</m:t>
                </m:r>
              </m:e>
            </m:rad>
          </m:den>
        </m:f>
        <m:nary>
          <m:naryPr>
            <m:ctrlPr>
              <w:rPr>
                <w:rFonts w:ascii="Cambria Math" w:hAnsi="Cambria Math"/>
                <w:i/>
                <w:sz w:val="18"/>
                <w:szCs w:val="18"/>
                <w:lang w:val="en-US"/>
              </w:rPr>
            </m:ctrlPr>
          </m:naryPr>
          <m:sub>
            <m:r>
              <w:rPr>
                <w:rFonts w:ascii="Cambria Math" w:hAnsi="Cambria Math"/>
                <w:sz w:val="18"/>
                <w:szCs w:val="18"/>
                <w:lang w:val="en-US"/>
              </w:rPr>
              <m:t>-∞</m:t>
            </m:r>
          </m:sub>
          <m:sup>
            <m:r>
              <w:rPr>
                <w:rFonts w:ascii="Cambria Math" w:hAnsi="Cambria Math"/>
                <w:sz w:val="18"/>
                <w:szCs w:val="18"/>
                <w:lang w:val="en-US"/>
              </w:rPr>
              <m:t>z</m:t>
            </m:r>
          </m:sup>
          <m:e>
            <m:sSup>
              <m:sSupPr>
                <m:ctrlPr>
                  <w:rPr>
                    <w:rFonts w:ascii="Cambria Math" w:hAnsi="Cambria Math"/>
                    <w:i/>
                    <w:sz w:val="18"/>
                    <w:szCs w:val="18"/>
                    <w:lang w:val="en-US"/>
                  </w:rPr>
                </m:ctrlPr>
              </m:sSupPr>
              <m:e>
                <m:r>
                  <w:rPr>
                    <w:rFonts w:ascii="Cambria Math" w:hAnsi="Cambria Math"/>
                    <w:sz w:val="18"/>
                    <w:szCs w:val="18"/>
                    <w:lang w:val="en-US"/>
                  </w:rPr>
                  <m:t>e</m:t>
                </m:r>
              </m:e>
              <m:sup>
                <m:r>
                  <w:rPr>
                    <w:rFonts w:ascii="Cambria Math" w:hAnsi="Cambria Math"/>
                    <w:sz w:val="18"/>
                    <w:szCs w:val="18"/>
                    <w:lang w:val="en-US"/>
                  </w:rPr>
                  <m:t>-</m:t>
                </m:r>
                <m:f>
                  <m:fPr>
                    <m:ctrlPr>
                      <w:rPr>
                        <w:rFonts w:ascii="Cambria Math" w:hAnsi="Cambria Math"/>
                        <w:i/>
                        <w:sz w:val="18"/>
                        <w:szCs w:val="18"/>
                        <w:lang w:val="en-US"/>
                      </w:rPr>
                    </m:ctrlPr>
                  </m:fPr>
                  <m:num>
                    <m:sSup>
                      <m:sSupPr>
                        <m:ctrlPr>
                          <w:rPr>
                            <w:rFonts w:ascii="Cambria Math" w:hAnsi="Cambria Math"/>
                            <w:i/>
                            <w:sz w:val="18"/>
                            <w:szCs w:val="18"/>
                            <w:lang w:val="en-US"/>
                          </w:rPr>
                        </m:ctrlPr>
                      </m:sSupPr>
                      <m:e>
                        <m:r>
                          <w:rPr>
                            <w:rFonts w:ascii="Cambria Math" w:hAnsi="Cambria Math"/>
                            <w:sz w:val="18"/>
                            <w:szCs w:val="18"/>
                            <w:lang w:val="en-US"/>
                          </w:rPr>
                          <m:t>t</m:t>
                        </m:r>
                      </m:e>
                      <m:sup>
                        <m:r>
                          <w:rPr>
                            <w:rFonts w:ascii="Cambria Math" w:hAnsi="Cambria Math"/>
                            <w:sz w:val="18"/>
                            <w:szCs w:val="18"/>
                            <w:lang w:val="en-US"/>
                          </w:rPr>
                          <m:t>2</m:t>
                        </m:r>
                      </m:sup>
                    </m:sSup>
                  </m:num>
                  <m:den>
                    <m:r>
                      <w:rPr>
                        <w:rFonts w:ascii="Cambria Math" w:hAnsi="Cambria Math"/>
                        <w:sz w:val="18"/>
                        <w:szCs w:val="18"/>
                        <w:lang w:val="en-US"/>
                      </w:rPr>
                      <m:t>2</m:t>
                    </m:r>
                  </m:den>
                </m:f>
              </m:sup>
            </m:sSup>
          </m:e>
        </m:nary>
        <m:r>
          <w:rPr>
            <w:rFonts w:ascii="Cambria Math" w:hAnsi="Cambria Math"/>
            <w:sz w:val="18"/>
            <w:szCs w:val="18"/>
            <w:lang w:val="en-US"/>
          </w:rPr>
          <m:t>dt</m:t>
        </m:r>
      </m:oMath>
      <w:r>
        <w:rPr>
          <w:rFonts w:ascii="Cambria Math" w:hAnsi="Cambria Math"/>
          <w:sz w:val="18"/>
          <w:szCs w:val="18"/>
          <w:lang w:val="en-US"/>
        </w:rPr>
        <w:tab/>
      </w:r>
      <w:r>
        <w:rPr>
          <w:rFonts w:ascii="Cambria Math" w:hAnsi="Cambria Math"/>
          <w:sz w:val="18"/>
          <w:szCs w:val="18"/>
          <w:lang w:val="en-US"/>
        </w:rPr>
        <w:tab/>
      </w:r>
      <w:r>
        <w:rPr>
          <w:rFonts w:ascii="Cambria Math" w:hAnsi="Cambria Math"/>
        </w:rPr>
        <w:t>(7)</w:t>
      </w:r>
    </w:p>
    <w:p w14:paraId="4C2C6FF3" w14:textId="77777777" w:rsidR="00097C63" w:rsidRDefault="00FB6D14">
      <w:pPr>
        <w:pStyle w:val="Nagwek2"/>
      </w:pPr>
      <w:r>
        <w:t xml:space="preserve">4.2. </w:t>
      </w:r>
      <w:r>
        <w:rPr>
          <w:rFonts w:hint="eastAsia"/>
        </w:rPr>
        <w:t>Probability model for perfect preventive maintenance</w:t>
      </w:r>
    </w:p>
    <w:p w14:paraId="562462A9" w14:textId="77777777" w:rsidR="00097C63" w:rsidRDefault="00FB6D14">
      <w:pPr>
        <w:pStyle w:val="tekstgowny"/>
        <w:ind w:firstLine="0"/>
        <w:rPr>
          <w:rFonts w:ascii="Cambria Math" w:hAnsi="Cambria Math"/>
        </w:rPr>
      </w:pPr>
      <w:r>
        <w:rPr>
          <w:rFonts w:ascii="Cambria Math" w:hAnsi="Cambria Math" w:hint="eastAsia"/>
        </w:rPr>
        <w:t xml:space="preserve">Denote the probability of performing perfect PM at the </w:t>
      </w:r>
      <w:r>
        <w:rPr>
          <w:rFonts w:ascii="Cambria Math" w:hAnsi="Cambria Math" w:hint="eastAsia"/>
          <w:i/>
          <w:iCs/>
        </w:rPr>
        <w:t>k</w:t>
      </w:r>
      <w:r>
        <w:rPr>
          <w:rFonts w:ascii="Cambria Math" w:hAnsi="Cambria Math" w:hint="eastAsia"/>
        </w:rPr>
        <w:t xml:space="preserve">-th inspection as </w:t>
      </w:r>
      <m:oMath>
        <m:sSub>
          <m:sSubPr>
            <m:ctrlPr>
              <w:rPr>
                <w:rFonts w:ascii="Cambria Math" w:hAnsi="Cambria Math"/>
                <w:i/>
                <w:iCs/>
              </w:rPr>
            </m:ctrlPr>
          </m:sSubPr>
          <m:e>
            <m:r>
              <w:rPr>
                <w:rFonts w:ascii="Cambria Math" w:hAnsi="Cambria Math"/>
              </w:rPr>
              <m:t>θ</m:t>
            </m:r>
          </m:e>
          <m:sub>
            <m:r>
              <w:rPr>
                <w:rFonts w:ascii="Cambria Math" w:hAnsi="Cambria Math"/>
              </w:rPr>
              <m:t>k</m:t>
            </m:r>
          </m:sub>
        </m:sSub>
      </m:oMath>
      <w:r>
        <w:rPr>
          <w:rFonts w:ascii="Cambria Math" w:hAnsi="Cambria Math" w:hint="eastAsia"/>
        </w:rPr>
        <w:t xml:space="preserve">. At the first inspection, if </w:t>
      </w:r>
      <w:r>
        <w:rPr>
          <w:rFonts w:ascii="Cambria Math" w:hAnsi="Cambria Math" w:hint="eastAsia"/>
          <w:i/>
          <w:iCs/>
        </w:rPr>
        <w:t>h</w:t>
      </w:r>
      <w:r>
        <w:rPr>
          <w:rFonts w:ascii="Cambria Math" w:hAnsi="Cambria Math" w:hint="eastAsia"/>
          <w:i/>
          <w:iCs/>
          <w:vertAlign w:val="subscript"/>
        </w:rPr>
        <w:t>p</w:t>
      </w:r>
      <w:r>
        <w:rPr>
          <w:rFonts w:ascii="Cambria Math" w:hAnsi="Cambria Math" w:hint="eastAsia"/>
        </w:rPr>
        <w:t>&lt;</w:t>
      </w:r>
      <w:r>
        <w:rPr>
          <w:rFonts w:ascii="Cambria Math" w:hAnsi="Cambria Math" w:hint="eastAsia"/>
          <w:i/>
          <w:iCs/>
        </w:rPr>
        <w:t>L</w:t>
      </w:r>
      <w:r>
        <w:rPr>
          <w:rFonts w:ascii="Cambria Math" w:hAnsi="Cambria Math" w:hint="eastAsia"/>
        </w:rPr>
        <w:t>(</w:t>
      </w:r>
      <w:r>
        <w:rPr>
          <w:rFonts w:ascii="Cambria Math" w:hAnsi="Cambria Math" w:hint="eastAsia"/>
          <w:i/>
          <w:iCs/>
        </w:rPr>
        <w:t>t</w:t>
      </w:r>
      <w:r>
        <w:rPr>
          <w:rFonts w:ascii="Cambria Math" w:hAnsi="Cambria Math" w:hint="eastAsia"/>
        </w:rPr>
        <w:t>)&lt;</w:t>
      </w:r>
      <w:r>
        <w:rPr>
          <w:rFonts w:ascii="Cambria Math" w:hAnsi="Cambria Math" w:hint="eastAsia"/>
          <w:i/>
          <w:iCs/>
        </w:rPr>
        <w:t>h</w:t>
      </w:r>
      <w:r>
        <w:rPr>
          <w:rFonts w:ascii="Cambria Math" w:hAnsi="Cambria Math" w:hint="eastAsia"/>
          <w:i/>
          <w:iCs/>
          <w:vertAlign w:val="subscript"/>
        </w:rPr>
        <w:t xml:space="preserve">f </w:t>
      </w:r>
      <w:r>
        <w:rPr>
          <w:rFonts w:ascii="Cambria Math" w:hAnsi="Cambria Math" w:hint="eastAsia"/>
        </w:rPr>
        <w:t xml:space="preserve">, perfect PM will be performed with probability </w:t>
      </w:r>
      <w:r>
        <w:rPr>
          <w:rFonts w:ascii="Cambria Math" w:hAnsi="Cambria Math" w:hint="eastAsia"/>
          <w:i/>
          <w:iCs/>
        </w:rPr>
        <w:t>p</w:t>
      </w:r>
      <w:r>
        <w:rPr>
          <w:rFonts w:ascii="Cambria Math" w:hAnsi="Cambria Math" w:hint="eastAsia"/>
        </w:rPr>
        <w:t>. Therefore, the probability of performing perfect PM at the first inspection is:</w:t>
      </w:r>
    </w:p>
    <w:p w14:paraId="5F5FA3B2" w14:textId="77777777" w:rsidR="00097C63" w:rsidRDefault="00FB6D14">
      <w:pPr>
        <w:pStyle w:val="tekstgowny"/>
        <w:ind w:firstLine="0"/>
        <w:jc w:val="right"/>
        <w:rPr>
          <w:rFonts w:ascii="Cambria Math" w:hAnsi="Cambria Math"/>
        </w:rPr>
      </w:pPr>
      <m:oMath>
        <m:sSub>
          <m:sSubPr>
            <m:ctrlPr>
              <w:rPr>
                <w:rFonts w:ascii="Cambria Math" w:hAnsi="Cambria Math"/>
                <w:i/>
                <w:sz w:val="18"/>
                <w:szCs w:val="18"/>
                <w:lang w:val="en-US"/>
              </w:rPr>
            </m:ctrlPr>
          </m:sSubPr>
          <m:e>
            <m:r>
              <w:rPr>
                <w:rFonts w:ascii="Cambria Math" w:hAnsi="Cambria Math"/>
                <w:sz w:val="18"/>
                <w:szCs w:val="18"/>
                <w:lang w:val="en-US"/>
              </w:rPr>
              <m:t>θ</m:t>
            </m:r>
          </m:e>
          <m:sub>
            <m:r>
              <w:rPr>
                <w:rFonts w:ascii="Cambria Math" w:hAnsi="Cambria Math"/>
                <w:sz w:val="18"/>
                <w:szCs w:val="18"/>
              </w:rPr>
              <m:t>1</m:t>
            </m:r>
          </m:sub>
        </m:sSub>
        <m:r>
          <w:rPr>
            <w:rFonts w:ascii="Cambria Math" w:hAnsi="Cambria Math"/>
            <w:sz w:val="18"/>
            <w:szCs w:val="18"/>
          </w:rPr>
          <m:t>=</m:t>
        </m:r>
        <m:r>
          <w:rPr>
            <w:rFonts w:ascii="Cambria Math" w:hAnsi="Cambria Math"/>
            <w:sz w:val="18"/>
            <w:szCs w:val="18"/>
            <w:lang w:val="en-US"/>
          </w:rPr>
          <m:t>prob</m:t>
        </m:r>
        <m:r>
          <w:rPr>
            <w:rFonts w:ascii="Cambria Math" w:hAnsi="Cambria Math"/>
            <w:sz w:val="18"/>
            <w:szCs w:val="18"/>
          </w:rPr>
          <m:t>{</m:t>
        </m:r>
        <m:sSub>
          <m:sSubPr>
            <m:ctrlPr>
              <w:rPr>
                <w:rFonts w:ascii="Cambria Math" w:hAnsi="Cambria Math"/>
                <w:i/>
                <w:sz w:val="18"/>
                <w:szCs w:val="18"/>
                <w:lang w:val="en-US"/>
              </w:rPr>
            </m:ctrlPr>
          </m:sSubPr>
          <m:e>
            <m:r>
              <w:rPr>
                <w:rFonts w:ascii="Cambria Math" w:hAnsi="Cambria Math"/>
                <w:sz w:val="18"/>
                <w:szCs w:val="18"/>
              </w:rPr>
              <m:t>h</m:t>
            </m:r>
          </m:e>
          <m:sub>
            <m:r>
              <w:rPr>
                <w:rFonts w:ascii="Cambria Math" w:hAnsi="Cambria Math"/>
                <w:sz w:val="18"/>
                <w:szCs w:val="18"/>
                <w:lang w:val="en-US"/>
              </w:rPr>
              <m:t>p</m:t>
            </m:r>
          </m:sub>
        </m:sSub>
        <m:r>
          <w:rPr>
            <w:rFonts w:ascii="Cambria Math" w:hAnsi="Cambria Math"/>
            <w:sz w:val="18"/>
            <w:szCs w:val="18"/>
          </w:rPr>
          <m:t>&lt;</m:t>
        </m:r>
        <m:r>
          <w:rPr>
            <w:rFonts w:ascii="Cambria Math" w:hAnsi="Cambria Math"/>
            <w:sz w:val="18"/>
            <w:szCs w:val="18"/>
            <w:lang w:val="en-US"/>
          </w:rPr>
          <m:t>L</m:t>
        </m:r>
        <m:r>
          <w:rPr>
            <w:rFonts w:ascii="Cambria Math" w:hAnsi="Cambria Math"/>
            <w:sz w:val="18"/>
            <w:szCs w:val="18"/>
          </w:rPr>
          <m:t>(</m:t>
        </m:r>
        <m:sSub>
          <m:sSubPr>
            <m:ctrlPr>
              <w:rPr>
                <w:rFonts w:ascii="Cambria Math" w:hAnsi="Cambria Math"/>
                <w:i/>
                <w:sz w:val="18"/>
                <w:szCs w:val="18"/>
                <w:lang w:val="en-US"/>
              </w:rPr>
            </m:ctrlPr>
          </m:sSubPr>
          <m:e>
            <m:r>
              <w:rPr>
                <w:rFonts w:ascii="Cambria Math" w:hAnsi="Cambria Math"/>
                <w:sz w:val="18"/>
                <w:szCs w:val="18"/>
                <w:lang w:val="en-US"/>
              </w:rPr>
              <m:t>D</m:t>
            </m:r>
          </m:e>
          <m:sub>
            <m:r>
              <w:rPr>
                <w:rFonts w:ascii="Cambria Math" w:hAnsi="Cambria Math"/>
                <w:sz w:val="18"/>
                <w:szCs w:val="18"/>
              </w:rPr>
              <m:t>1</m:t>
            </m:r>
          </m:sub>
        </m:sSub>
        <m:r>
          <w:rPr>
            <w:rFonts w:ascii="Cambria Math" w:hAnsi="Cambria Math"/>
            <w:sz w:val="18"/>
            <w:szCs w:val="18"/>
          </w:rPr>
          <m:t>)&lt;</m:t>
        </m:r>
        <m:sSub>
          <m:sSubPr>
            <m:ctrlPr>
              <w:rPr>
                <w:rFonts w:ascii="Cambria Math" w:hAnsi="Cambria Math"/>
                <w:i/>
                <w:sz w:val="18"/>
                <w:szCs w:val="18"/>
                <w:lang w:val="en-US"/>
              </w:rPr>
            </m:ctrlPr>
          </m:sSubPr>
          <m:e>
            <m:r>
              <w:rPr>
                <w:rFonts w:ascii="Cambria Math" w:hAnsi="Cambria Math"/>
                <w:sz w:val="18"/>
                <w:szCs w:val="18"/>
              </w:rPr>
              <m:t>h</m:t>
            </m:r>
          </m:e>
          <m:sub>
            <m:r>
              <w:rPr>
                <w:rFonts w:ascii="Cambria Math" w:hAnsi="Cambria Math"/>
                <w:sz w:val="18"/>
                <w:szCs w:val="18"/>
                <w:lang w:val="en-US"/>
              </w:rPr>
              <m:t>f</m:t>
            </m:r>
          </m:sub>
        </m:sSub>
        <m:r>
          <w:rPr>
            <w:rFonts w:ascii="Cambria Math" w:hAnsi="Cambria Math"/>
            <w:sz w:val="18"/>
            <w:szCs w:val="18"/>
          </w:rPr>
          <m:t>}⋅</m:t>
        </m:r>
        <m:r>
          <w:rPr>
            <w:rFonts w:ascii="Cambria Math" w:hAnsi="Cambria Math"/>
            <w:sz w:val="18"/>
            <w:szCs w:val="18"/>
            <w:lang w:val="en-US"/>
          </w:rPr>
          <m:t>p</m:t>
        </m:r>
      </m:oMath>
      <w:r w:rsidRPr="007C1030">
        <w:rPr>
          <w:rFonts w:ascii="Cambria Math" w:hAnsi="Cambria Math"/>
          <w:sz w:val="18"/>
          <w:szCs w:val="18"/>
        </w:rPr>
        <w:tab/>
      </w:r>
      <w:r w:rsidRPr="007C1030">
        <w:rPr>
          <w:rFonts w:ascii="Cambria Math" w:hAnsi="Cambria Math"/>
          <w:sz w:val="18"/>
          <w:szCs w:val="18"/>
        </w:rPr>
        <w:tab/>
      </w:r>
      <w:r>
        <w:rPr>
          <w:rFonts w:ascii="Cambria Math" w:hAnsi="Cambria Math"/>
        </w:rPr>
        <w:t>(8)</w:t>
      </w:r>
    </w:p>
    <w:p w14:paraId="228E190D" w14:textId="77777777" w:rsidR="00097C63" w:rsidRDefault="00FB6D14">
      <w:pPr>
        <w:pStyle w:val="tekstgowny"/>
        <w:rPr>
          <w:rFonts w:ascii="Cambria Math" w:hAnsi="Cambria Math"/>
        </w:rPr>
      </w:pPr>
      <w:r>
        <w:rPr>
          <w:rFonts w:ascii="Cambria Math" w:hAnsi="Cambria Math" w:hint="eastAsia"/>
        </w:rPr>
        <w:t xml:space="preserve">When analyzing the probability of successful PM at the second inspection, it is necessary to consider the outcome of the first inspection. Specifically, there are two scenarios: Scenario 1 is that no PM is required at the first inspection, but PM is needed and successfully implemented at the second inspection; Scenario 2 is that PM is required at the first inspection, but not successfully implemented, the system does not fail between the two inspections, and PM is successfully carried out at the second inspection. The probability of Scenario 1 occurring is: </w:t>
      </w:r>
    </w:p>
    <w:p w14:paraId="27869E4C" w14:textId="77777777" w:rsidR="00097C63" w:rsidRDefault="00FB6D14">
      <w:pPr>
        <w:pStyle w:val="tekstgowny"/>
        <w:ind w:firstLine="0"/>
        <w:jc w:val="right"/>
        <w:rPr>
          <w:rFonts w:ascii="Cambria Math" w:hAnsi="Cambria Math"/>
        </w:rPr>
      </w:pPr>
      <w:r>
        <w:rPr>
          <w:rFonts w:ascii="Cambria Math" w:hAnsi="Cambria Math"/>
          <w:i/>
          <w:sz w:val="18"/>
          <w:szCs w:val="18"/>
          <w:lang w:val="en-US"/>
        </w:rPr>
        <w:t xml:space="preserve"> </w:t>
      </w:r>
      <m:oMath>
        <m:r>
          <w:rPr>
            <w:rFonts w:ascii="Cambria Math" w:hAnsi="Cambria Math"/>
            <w:sz w:val="18"/>
            <w:szCs w:val="18"/>
            <w:lang w:val="en-US"/>
          </w:rPr>
          <m:t>pro</m:t>
        </m:r>
        <m:sSubSup>
          <m:sSubSupPr>
            <m:ctrlPr>
              <w:rPr>
                <w:rFonts w:ascii="Cambria Math" w:hAnsi="Cambria Math"/>
                <w:i/>
                <w:sz w:val="18"/>
                <w:szCs w:val="18"/>
                <w:lang w:val="en-US"/>
              </w:rPr>
            </m:ctrlPr>
          </m:sSubSupPr>
          <m:e>
            <m:r>
              <w:rPr>
                <w:rFonts w:ascii="Cambria Math" w:hAnsi="Cambria Math"/>
                <w:sz w:val="18"/>
                <w:szCs w:val="18"/>
                <w:lang w:val="en-US"/>
              </w:rPr>
              <m:t>b</m:t>
            </m:r>
          </m:e>
          <m:sub>
            <m:r>
              <w:rPr>
                <w:rFonts w:ascii="Cambria Math" w:hAnsi="Cambria Math"/>
                <w:sz w:val="18"/>
                <w:szCs w:val="18"/>
                <w:lang w:val="en-US"/>
              </w:rPr>
              <m:t>S1</m:t>
            </m:r>
          </m:sub>
          <m:sup>
            <m:r>
              <w:rPr>
                <w:rFonts w:ascii="Cambria Math" w:hAnsi="Cambria Math"/>
                <w:sz w:val="18"/>
                <w:szCs w:val="18"/>
                <w:lang w:val="en-US"/>
              </w:rPr>
              <m:t>P2</m:t>
            </m:r>
          </m:sup>
        </m:sSubSup>
        <m:r>
          <w:rPr>
            <w:rFonts w:ascii="Cambria Math" w:hAnsi="Cambria Math"/>
            <w:sz w:val="18"/>
            <w:szCs w:val="18"/>
            <w:lang w:val="en-US"/>
          </w:rPr>
          <m:t>=prob{L(</m:t>
        </m:r>
        <m:sSub>
          <m:sSubPr>
            <m:ctrlPr>
              <w:rPr>
                <w:rFonts w:ascii="Cambria Math" w:hAnsi="Cambria Math"/>
                <w:i/>
                <w:sz w:val="18"/>
                <w:szCs w:val="18"/>
                <w:lang w:val="en-US"/>
              </w:rPr>
            </m:ctrlPr>
          </m:sSubPr>
          <m:e>
            <m:r>
              <w:rPr>
                <w:rFonts w:ascii="Cambria Math" w:hAnsi="Cambria Math"/>
                <w:sz w:val="18"/>
                <w:szCs w:val="18"/>
                <w:lang w:val="en-US"/>
              </w:rPr>
              <m:t>D</m:t>
            </m:r>
          </m:e>
          <m:sub>
            <m:r>
              <w:rPr>
                <w:rFonts w:ascii="Cambria Math" w:hAnsi="Cambria Math"/>
                <w:sz w:val="18"/>
                <w:szCs w:val="18"/>
                <w:lang w:val="en-US"/>
              </w:rPr>
              <m:t>1</m:t>
            </m:r>
          </m:sub>
        </m:sSub>
        <m:r>
          <w:rPr>
            <w:rFonts w:ascii="Cambria Math" w:hAnsi="Cambria Math"/>
            <w:sz w:val="18"/>
            <w:szCs w:val="18"/>
            <w:lang w:val="en-US"/>
          </w:rPr>
          <m:t>)&lt;</m:t>
        </m:r>
        <m:sSub>
          <m:sSubPr>
            <m:ctrlPr>
              <w:rPr>
                <w:rFonts w:ascii="Cambria Math" w:hAnsi="Cambria Math"/>
                <w:i/>
                <w:sz w:val="18"/>
                <w:szCs w:val="18"/>
                <w:lang w:val="en-US"/>
              </w:rPr>
            </m:ctrlPr>
          </m:sSubPr>
          <m:e>
            <m:r>
              <w:rPr>
                <w:rFonts w:ascii="Cambria Math" w:hAnsi="Cambria Math"/>
                <w:sz w:val="18"/>
                <w:szCs w:val="18"/>
                <w:lang w:val="en-US"/>
              </w:rPr>
              <m:t>h</m:t>
            </m:r>
          </m:e>
          <m:sub>
            <m:r>
              <w:rPr>
                <w:rFonts w:ascii="Cambria Math" w:hAnsi="Cambria Math"/>
                <w:sz w:val="18"/>
                <w:szCs w:val="18"/>
                <w:lang w:val="en-US"/>
              </w:rPr>
              <m:t>p</m:t>
            </m:r>
          </m:sub>
        </m:sSub>
        <m:r>
          <w:rPr>
            <w:rFonts w:ascii="Cambria Math" w:hAnsi="Cambria Math"/>
            <w:sz w:val="18"/>
            <w:szCs w:val="18"/>
            <w:lang w:val="en-US"/>
          </w:rPr>
          <m:t xml:space="preserve"> ∩ </m:t>
        </m:r>
        <m:sSub>
          <m:sSubPr>
            <m:ctrlPr>
              <w:rPr>
                <w:rFonts w:ascii="Cambria Math" w:hAnsi="Cambria Math"/>
                <w:i/>
                <w:sz w:val="18"/>
                <w:szCs w:val="18"/>
                <w:lang w:val="en-US"/>
              </w:rPr>
            </m:ctrlPr>
          </m:sSubPr>
          <m:e>
            <m:r>
              <w:rPr>
                <w:rFonts w:ascii="Cambria Math" w:hAnsi="Cambria Math"/>
                <w:sz w:val="18"/>
                <w:szCs w:val="18"/>
                <w:lang w:val="en-US"/>
              </w:rPr>
              <m:t>h</m:t>
            </m:r>
          </m:e>
          <m:sub>
            <m:r>
              <w:rPr>
                <w:rFonts w:ascii="Cambria Math" w:hAnsi="Cambria Math"/>
                <w:sz w:val="18"/>
                <w:szCs w:val="18"/>
                <w:lang w:val="en-US"/>
              </w:rPr>
              <m:t>p</m:t>
            </m:r>
          </m:sub>
        </m:sSub>
        <m:r>
          <w:rPr>
            <w:rFonts w:ascii="Cambria Math" w:hAnsi="Cambria Math"/>
            <w:sz w:val="18"/>
            <w:szCs w:val="18"/>
            <w:lang w:val="en-US"/>
          </w:rPr>
          <m:t>&lt;L(</m:t>
        </m:r>
        <m:sSub>
          <m:sSubPr>
            <m:ctrlPr>
              <w:rPr>
                <w:rFonts w:ascii="Cambria Math" w:hAnsi="Cambria Math"/>
                <w:i/>
                <w:sz w:val="18"/>
                <w:szCs w:val="18"/>
                <w:lang w:val="en-US"/>
              </w:rPr>
            </m:ctrlPr>
          </m:sSubPr>
          <m:e>
            <m:r>
              <w:rPr>
                <w:rFonts w:ascii="Cambria Math" w:hAnsi="Cambria Math"/>
                <w:sz w:val="18"/>
                <w:szCs w:val="18"/>
                <w:lang w:val="en-US"/>
              </w:rPr>
              <m:t>D</m:t>
            </m:r>
          </m:e>
          <m:sub>
            <m:r>
              <w:rPr>
                <w:rFonts w:ascii="Cambria Math" w:hAnsi="Cambria Math"/>
                <w:sz w:val="18"/>
                <w:szCs w:val="18"/>
                <w:lang w:val="en-US"/>
              </w:rPr>
              <m:t>1</m:t>
            </m:r>
          </m:sub>
        </m:sSub>
        <m:r>
          <w:rPr>
            <w:rFonts w:ascii="Cambria Math" w:hAnsi="Cambria Math"/>
            <w:sz w:val="18"/>
            <w:szCs w:val="18"/>
            <w:lang w:val="en-US"/>
          </w:rPr>
          <m:t>+D)&lt;</m:t>
        </m:r>
        <m:sSub>
          <m:sSubPr>
            <m:ctrlPr>
              <w:rPr>
                <w:rFonts w:ascii="Cambria Math" w:hAnsi="Cambria Math"/>
                <w:i/>
                <w:sz w:val="18"/>
                <w:szCs w:val="18"/>
                <w:lang w:val="en-US"/>
              </w:rPr>
            </m:ctrlPr>
          </m:sSubPr>
          <m:e>
            <m:r>
              <w:rPr>
                <w:rFonts w:ascii="Cambria Math" w:hAnsi="Cambria Math"/>
                <w:sz w:val="18"/>
                <w:szCs w:val="18"/>
                <w:lang w:val="en-US"/>
              </w:rPr>
              <m:t>h</m:t>
            </m:r>
          </m:e>
          <m:sub>
            <m:r>
              <w:rPr>
                <w:rFonts w:ascii="Cambria Math" w:hAnsi="Cambria Math"/>
                <w:sz w:val="18"/>
                <w:szCs w:val="18"/>
                <w:lang w:val="en-US"/>
              </w:rPr>
              <m:t>f</m:t>
            </m:r>
          </m:sub>
        </m:sSub>
        <m:r>
          <w:rPr>
            <w:rFonts w:ascii="Cambria Math" w:hAnsi="Cambria Math"/>
            <w:sz w:val="18"/>
            <w:szCs w:val="18"/>
            <w:lang w:val="en-US"/>
          </w:rPr>
          <m:t>}⋅p</m:t>
        </m:r>
      </m:oMath>
      <w:r>
        <w:rPr>
          <w:rFonts w:ascii="Cambria Math" w:hAnsi="Cambria Math"/>
          <w:sz w:val="18"/>
          <w:szCs w:val="18"/>
          <w:lang w:val="en-US"/>
        </w:rPr>
        <w:t xml:space="preserve">   </w:t>
      </w:r>
      <w:r>
        <w:rPr>
          <w:rFonts w:ascii="Cambria Math" w:hAnsi="Cambria Math"/>
        </w:rPr>
        <w:t>(9)</w:t>
      </w:r>
    </w:p>
    <w:p w14:paraId="53D47D2D" w14:textId="77777777" w:rsidR="00097C63" w:rsidRDefault="00FB6D14">
      <w:pPr>
        <w:pStyle w:val="tekstgowny"/>
        <w:rPr>
          <w:rFonts w:ascii="Cambria Math" w:hAnsi="Cambria Math"/>
        </w:rPr>
      </w:pPr>
      <w:r>
        <w:rPr>
          <w:rFonts w:ascii="Cambria Math" w:hAnsi="Cambria Math" w:hint="eastAsia"/>
        </w:rPr>
        <w:t>The probability of Scenario 2 occurring can be expressed as:</w:t>
      </w:r>
    </w:p>
    <w:p w14:paraId="673623F0" w14:textId="77777777" w:rsidR="00097C63" w:rsidRDefault="00FB6D14">
      <w:pPr>
        <w:pStyle w:val="tekstgowny"/>
        <w:ind w:firstLine="0"/>
        <w:jc w:val="right"/>
        <w:rPr>
          <w:rFonts w:ascii="Cambria Math" w:hAnsi="Cambria Math"/>
        </w:rPr>
      </w:pPr>
      <m:oMath>
        <m:r>
          <w:rPr>
            <w:rFonts w:ascii="Cambria Math" w:hAnsi="Cambria Math"/>
            <w:sz w:val="18"/>
            <w:szCs w:val="18"/>
            <w:lang w:val="en-US"/>
          </w:rPr>
          <m:t>pro</m:t>
        </m:r>
        <m:sSubSup>
          <m:sSubSupPr>
            <m:ctrlPr>
              <w:rPr>
                <w:rFonts w:ascii="Cambria Math" w:hAnsi="Cambria Math"/>
                <w:i/>
                <w:sz w:val="18"/>
                <w:szCs w:val="18"/>
                <w:lang w:val="en-US"/>
              </w:rPr>
            </m:ctrlPr>
          </m:sSubSupPr>
          <m:e>
            <m:r>
              <w:rPr>
                <w:rFonts w:ascii="Cambria Math" w:hAnsi="Cambria Math"/>
                <w:sz w:val="18"/>
                <w:szCs w:val="18"/>
                <w:lang w:val="en-US"/>
              </w:rPr>
              <m:t>b</m:t>
            </m:r>
          </m:e>
          <m:sub>
            <m:r>
              <w:rPr>
                <w:rFonts w:ascii="Cambria Math" w:hAnsi="Cambria Math"/>
                <w:sz w:val="18"/>
                <w:szCs w:val="18"/>
                <w:lang w:val="en-US"/>
              </w:rPr>
              <m:t>S</m:t>
            </m:r>
            <m:r>
              <w:rPr>
                <w:rFonts w:ascii="Cambria Math" w:hAnsi="Cambria Math"/>
                <w:sz w:val="18"/>
                <w:szCs w:val="18"/>
              </w:rPr>
              <m:t>2</m:t>
            </m:r>
          </m:sub>
          <m:sup>
            <m:r>
              <w:rPr>
                <w:rFonts w:ascii="Cambria Math" w:hAnsi="Cambria Math"/>
                <w:sz w:val="18"/>
                <w:szCs w:val="18"/>
                <w:lang w:val="en-US"/>
              </w:rPr>
              <m:t>P</m:t>
            </m:r>
            <m:r>
              <w:rPr>
                <w:rFonts w:ascii="Cambria Math" w:hAnsi="Cambria Math"/>
                <w:sz w:val="18"/>
                <w:szCs w:val="18"/>
              </w:rPr>
              <m:t>2</m:t>
            </m:r>
          </m:sup>
        </m:sSubSup>
        <m:r>
          <w:rPr>
            <w:rFonts w:ascii="Cambria Math" w:hAnsi="Cambria Math"/>
            <w:sz w:val="18"/>
            <w:szCs w:val="18"/>
          </w:rPr>
          <m:t>=</m:t>
        </m:r>
        <m:r>
          <w:rPr>
            <w:rFonts w:ascii="Cambria Math" w:hAnsi="Cambria Math"/>
            <w:sz w:val="18"/>
            <w:szCs w:val="18"/>
            <w:lang w:val="en-US"/>
          </w:rPr>
          <m:t>prob</m:t>
        </m:r>
        <m:d>
          <m:dPr>
            <m:begChr m:val="{"/>
            <m:endChr m:val="}"/>
            <m:ctrlPr>
              <w:rPr>
                <w:rFonts w:ascii="Cambria Math" w:hAnsi="Cambria Math"/>
                <w:i/>
                <w:sz w:val="18"/>
                <w:szCs w:val="18"/>
                <w:lang w:val="en-US"/>
              </w:rPr>
            </m:ctrlPr>
          </m:dPr>
          <m:e>
            <m:sSub>
              <m:sSubPr>
                <m:ctrlPr>
                  <w:rPr>
                    <w:rFonts w:ascii="Cambria Math" w:hAnsi="Cambria Math"/>
                    <w:i/>
                    <w:sz w:val="18"/>
                    <w:szCs w:val="18"/>
                    <w:lang w:val="en-US"/>
                  </w:rPr>
                </m:ctrlPr>
              </m:sSubPr>
              <m:e>
                <m:r>
                  <w:rPr>
                    <w:rFonts w:ascii="Cambria Math" w:hAnsi="Cambria Math"/>
                    <w:sz w:val="18"/>
                    <w:szCs w:val="18"/>
                  </w:rPr>
                  <m:t>h</m:t>
                </m:r>
              </m:e>
              <m:sub>
                <m:r>
                  <w:rPr>
                    <w:rFonts w:ascii="Cambria Math" w:hAnsi="Cambria Math"/>
                    <w:sz w:val="18"/>
                    <w:szCs w:val="18"/>
                    <w:lang w:val="en-US"/>
                  </w:rPr>
                  <m:t>p</m:t>
                </m:r>
              </m:sub>
            </m:sSub>
            <m:r>
              <w:rPr>
                <w:rFonts w:ascii="Cambria Math" w:hAnsi="Cambria Math"/>
                <w:sz w:val="18"/>
                <w:szCs w:val="18"/>
              </w:rPr>
              <m:t>&lt;</m:t>
            </m:r>
            <m:r>
              <w:rPr>
                <w:rFonts w:ascii="Cambria Math" w:hAnsi="Cambria Math"/>
                <w:sz w:val="18"/>
                <w:szCs w:val="18"/>
                <w:lang w:val="en-US"/>
              </w:rPr>
              <m:t>L</m:t>
            </m:r>
            <m:d>
              <m:dPr>
                <m:ctrlPr>
                  <w:rPr>
                    <w:rFonts w:ascii="Cambria Math" w:hAnsi="Cambria Math"/>
                    <w:i/>
                    <w:sz w:val="18"/>
                    <w:szCs w:val="18"/>
                    <w:lang w:val="en-US"/>
                  </w:rPr>
                </m:ctrlPr>
              </m:dPr>
              <m:e>
                <m:sSub>
                  <m:sSubPr>
                    <m:ctrlPr>
                      <w:rPr>
                        <w:rFonts w:ascii="Cambria Math" w:hAnsi="Cambria Math"/>
                        <w:i/>
                        <w:sz w:val="18"/>
                        <w:szCs w:val="18"/>
                        <w:lang w:val="en-US"/>
                      </w:rPr>
                    </m:ctrlPr>
                  </m:sSubPr>
                  <m:e>
                    <m:r>
                      <w:rPr>
                        <w:rFonts w:ascii="Cambria Math" w:hAnsi="Cambria Math"/>
                        <w:sz w:val="18"/>
                        <w:szCs w:val="18"/>
                        <w:lang w:val="en-US"/>
                      </w:rPr>
                      <m:t>D</m:t>
                    </m:r>
                  </m:e>
                  <m:sub>
                    <m:r>
                      <w:rPr>
                        <w:rFonts w:ascii="Cambria Math" w:hAnsi="Cambria Math"/>
                        <w:sz w:val="18"/>
                        <w:szCs w:val="18"/>
                      </w:rPr>
                      <m:t>1</m:t>
                    </m:r>
                  </m:sub>
                </m:sSub>
              </m:e>
            </m:d>
            <m:r>
              <w:rPr>
                <w:rFonts w:ascii="Cambria Math" w:hAnsi="Cambria Math"/>
                <w:sz w:val="18"/>
                <w:szCs w:val="18"/>
              </w:rPr>
              <m:t>&lt;</m:t>
            </m:r>
            <m:sSub>
              <m:sSubPr>
                <m:ctrlPr>
                  <w:rPr>
                    <w:rFonts w:ascii="Cambria Math" w:hAnsi="Cambria Math"/>
                    <w:i/>
                    <w:sz w:val="18"/>
                    <w:szCs w:val="18"/>
                    <w:lang w:val="en-US"/>
                  </w:rPr>
                </m:ctrlPr>
              </m:sSubPr>
              <m:e>
                <m:r>
                  <w:rPr>
                    <w:rFonts w:ascii="Cambria Math" w:hAnsi="Cambria Math"/>
                    <w:sz w:val="18"/>
                    <w:szCs w:val="18"/>
                  </w:rPr>
                  <m:t>h</m:t>
                </m:r>
              </m:e>
              <m:sub>
                <m:r>
                  <w:rPr>
                    <w:rFonts w:ascii="Cambria Math" w:hAnsi="Cambria Math"/>
                    <w:sz w:val="18"/>
                    <w:szCs w:val="18"/>
                    <w:lang w:val="en-US"/>
                  </w:rPr>
                  <m:t>f</m:t>
                </m:r>
              </m:sub>
            </m:sSub>
            <m:r>
              <w:rPr>
                <w:rFonts w:ascii="Cambria Math" w:hAnsi="Cambria Math"/>
                <w:sz w:val="18"/>
                <w:szCs w:val="18"/>
              </w:rPr>
              <m:t xml:space="preserve"> ∩ </m:t>
            </m:r>
            <m:sSub>
              <m:sSubPr>
                <m:ctrlPr>
                  <w:rPr>
                    <w:rFonts w:ascii="Cambria Math" w:hAnsi="Cambria Math"/>
                    <w:i/>
                    <w:sz w:val="18"/>
                    <w:szCs w:val="18"/>
                    <w:lang w:val="en-US"/>
                  </w:rPr>
                </m:ctrlPr>
              </m:sSubPr>
              <m:e>
                <m:r>
                  <w:rPr>
                    <w:rFonts w:ascii="Cambria Math" w:hAnsi="Cambria Math"/>
                    <w:sz w:val="18"/>
                    <w:szCs w:val="18"/>
                  </w:rPr>
                  <m:t>h</m:t>
                </m:r>
              </m:e>
              <m:sub>
                <m:r>
                  <w:rPr>
                    <w:rFonts w:ascii="Cambria Math" w:hAnsi="Cambria Math"/>
                    <w:sz w:val="18"/>
                    <w:szCs w:val="18"/>
                    <w:lang w:val="en-US"/>
                  </w:rPr>
                  <m:t>p</m:t>
                </m:r>
              </m:sub>
            </m:sSub>
            <m:r>
              <w:rPr>
                <w:rFonts w:ascii="Cambria Math" w:hAnsi="Cambria Math"/>
                <w:sz w:val="18"/>
                <w:szCs w:val="18"/>
              </w:rPr>
              <m:t>&lt;</m:t>
            </m:r>
            <m:r>
              <w:rPr>
                <w:rFonts w:ascii="Cambria Math" w:hAnsi="Cambria Math"/>
                <w:sz w:val="18"/>
                <w:szCs w:val="18"/>
                <w:lang w:val="en-US"/>
              </w:rPr>
              <m:t>L</m:t>
            </m:r>
            <m:d>
              <m:dPr>
                <m:ctrlPr>
                  <w:rPr>
                    <w:rFonts w:ascii="Cambria Math" w:hAnsi="Cambria Math"/>
                    <w:i/>
                    <w:sz w:val="18"/>
                    <w:szCs w:val="18"/>
                    <w:lang w:val="en-US"/>
                  </w:rPr>
                </m:ctrlPr>
              </m:dPr>
              <m:e>
                <m:sSub>
                  <m:sSubPr>
                    <m:ctrlPr>
                      <w:rPr>
                        <w:rFonts w:ascii="Cambria Math" w:hAnsi="Cambria Math"/>
                        <w:i/>
                        <w:sz w:val="18"/>
                        <w:szCs w:val="18"/>
                        <w:lang w:val="en-US"/>
                      </w:rPr>
                    </m:ctrlPr>
                  </m:sSubPr>
                  <m:e>
                    <m:r>
                      <w:rPr>
                        <w:rFonts w:ascii="Cambria Math" w:hAnsi="Cambria Math"/>
                        <w:sz w:val="18"/>
                        <w:szCs w:val="18"/>
                        <w:lang w:val="en-US"/>
                      </w:rPr>
                      <m:t>D</m:t>
                    </m:r>
                  </m:e>
                  <m:sub>
                    <m:r>
                      <w:rPr>
                        <w:rFonts w:ascii="Cambria Math" w:hAnsi="Cambria Math"/>
                        <w:sz w:val="18"/>
                        <w:szCs w:val="18"/>
                      </w:rPr>
                      <m:t>1</m:t>
                    </m:r>
                  </m:sub>
                </m:sSub>
                <m:r>
                  <w:rPr>
                    <w:rFonts w:ascii="Cambria Math" w:hAnsi="Cambria Math"/>
                    <w:sz w:val="18"/>
                    <w:szCs w:val="18"/>
                  </w:rPr>
                  <m:t>+</m:t>
                </m:r>
                <m:r>
                  <w:rPr>
                    <w:rFonts w:ascii="Cambria Math" w:hAnsi="Cambria Math"/>
                    <w:sz w:val="18"/>
                    <w:szCs w:val="18"/>
                    <w:lang w:val="en-US"/>
                  </w:rPr>
                  <m:t>D</m:t>
                </m:r>
              </m:e>
            </m:d>
            <m:r>
              <w:rPr>
                <w:rFonts w:ascii="Cambria Math" w:hAnsi="Cambria Math"/>
                <w:sz w:val="18"/>
                <w:szCs w:val="18"/>
              </w:rPr>
              <m:t>&lt;</m:t>
            </m:r>
            <m:sSub>
              <m:sSubPr>
                <m:ctrlPr>
                  <w:rPr>
                    <w:rFonts w:ascii="Cambria Math" w:hAnsi="Cambria Math"/>
                    <w:i/>
                    <w:sz w:val="18"/>
                    <w:szCs w:val="18"/>
                    <w:lang w:val="en-US"/>
                  </w:rPr>
                </m:ctrlPr>
              </m:sSubPr>
              <m:e>
                <m:r>
                  <w:rPr>
                    <w:rFonts w:ascii="Cambria Math" w:hAnsi="Cambria Math"/>
                    <w:sz w:val="18"/>
                    <w:szCs w:val="18"/>
                  </w:rPr>
                  <m:t>h</m:t>
                </m:r>
              </m:e>
              <m:sub>
                <m:r>
                  <w:rPr>
                    <w:rFonts w:ascii="Cambria Math" w:hAnsi="Cambria Math"/>
                    <w:sz w:val="18"/>
                    <w:szCs w:val="18"/>
                    <w:lang w:val="en-US"/>
                  </w:rPr>
                  <m:t>f</m:t>
                </m:r>
              </m:sub>
            </m:sSub>
          </m:e>
        </m:d>
        <m:r>
          <w:rPr>
            <w:rFonts w:ascii="Cambria Math" w:hAnsi="Cambria Math"/>
            <w:sz w:val="18"/>
            <w:szCs w:val="18"/>
          </w:rPr>
          <m:t>⋅</m:t>
        </m:r>
        <m:d>
          <m:dPr>
            <m:ctrlPr>
              <w:rPr>
                <w:rFonts w:ascii="Cambria Math" w:hAnsi="Cambria Math"/>
                <w:i/>
                <w:sz w:val="18"/>
                <w:szCs w:val="18"/>
                <w:lang w:val="en-US"/>
              </w:rPr>
            </m:ctrlPr>
          </m:dPr>
          <m:e>
            <m:r>
              <w:rPr>
                <w:rFonts w:ascii="Cambria Math" w:hAnsi="Cambria Math"/>
                <w:sz w:val="18"/>
                <w:szCs w:val="18"/>
              </w:rPr>
              <m:t>1-</m:t>
            </m:r>
            <m:r>
              <w:rPr>
                <w:rFonts w:ascii="Cambria Math" w:hAnsi="Cambria Math"/>
                <w:sz w:val="18"/>
                <w:szCs w:val="18"/>
                <w:lang w:val="en-US"/>
              </w:rPr>
              <m:t>p</m:t>
            </m:r>
          </m:e>
        </m:d>
        <m:r>
          <w:rPr>
            <w:rFonts w:ascii="Cambria Math" w:hAnsi="Cambria Math"/>
            <w:sz w:val="18"/>
            <w:szCs w:val="18"/>
            <w:lang w:val="en-US"/>
          </w:rPr>
          <m:t>p</m:t>
        </m:r>
        <m:r>
          <w:rPr>
            <w:rFonts w:ascii="Cambria Math" w:hAnsi="Cambria Math"/>
            <w:sz w:val="18"/>
            <w:szCs w:val="18"/>
          </w:rPr>
          <m:t xml:space="preserve">   </m:t>
        </m:r>
      </m:oMath>
      <w:r>
        <w:rPr>
          <w:rFonts w:ascii="Cambria Math" w:hAnsi="Cambria Math"/>
        </w:rPr>
        <w:t>(10)</w:t>
      </w:r>
    </w:p>
    <w:p w14:paraId="57994912" w14:textId="77777777" w:rsidR="00097C63" w:rsidRDefault="00FB6D14">
      <w:pPr>
        <w:pStyle w:val="tekstgowny"/>
        <w:rPr>
          <w:rFonts w:ascii="Cambria Math" w:hAnsi="Cambria Math"/>
        </w:rPr>
      </w:pPr>
      <w:r>
        <w:rPr>
          <w:rFonts w:ascii="Cambria Math" w:hAnsi="Cambria Math" w:hint="eastAsia"/>
        </w:rPr>
        <w:t>The probability of successfully performing PM at the second inspection is:</w:t>
      </w:r>
    </w:p>
    <w:p w14:paraId="117FDB94" w14:textId="77777777" w:rsidR="00097C63" w:rsidRDefault="00FB6D14">
      <w:pPr>
        <w:pStyle w:val="tekstgowny"/>
        <w:ind w:firstLine="0"/>
        <w:jc w:val="right"/>
        <w:rPr>
          <w:rFonts w:ascii="Cambria Math" w:hAnsi="Cambria Math"/>
        </w:rPr>
      </w:pPr>
      <m:oMath>
        <m:sSub>
          <m:sSubPr>
            <m:ctrlPr>
              <w:rPr>
                <w:rFonts w:ascii="Cambria Math" w:hAnsi="Cambria Math"/>
                <w:i/>
                <w:sz w:val="18"/>
                <w:szCs w:val="18"/>
                <w:lang w:val="en-US"/>
              </w:rPr>
            </m:ctrlPr>
          </m:sSubPr>
          <m:e>
            <m:r>
              <w:rPr>
                <w:rFonts w:ascii="Cambria Math" w:hAnsi="Cambria Math"/>
                <w:sz w:val="18"/>
                <w:szCs w:val="18"/>
                <w:lang w:val="en-US"/>
              </w:rPr>
              <m:t>θ</m:t>
            </m:r>
          </m:e>
          <m:sub>
            <m:r>
              <w:rPr>
                <w:rFonts w:ascii="Cambria Math" w:hAnsi="Cambria Math"/>
                <w:sz w:val="18"/>
                <w:szCs w:val="18"/>
              </w:rPr>
              <m:t>2</m:t>
            </m:r>
          </m:sub>
        </m:sSub>
        <m:r>
          <w:rPr>
            <w:rFonts w:ascii="Cambria Math" w:hAnsi="Cambria Math"/>
            <w:sz w:val="18"/>
            <w:szCs w:val="18"/>
          </w:rPr>
          <m:t>=</m:t>
        </m:r>
        <m:r>
          <w:rPr>
            <w:rFonts w:ascii="Cambria Math" w:hAnsi="Cambria Math"/>
            <w:sz w:val="18"/>
            <w:szCs w:val="18"/>
            <w:lang w:val="en-US"/>
          </w:rPr>
          <m:t>pro</m:t>
        </m:r>
        <m:sSubSup>
          <m:sSubSupPr>
            <m:ctrlPr>
              <w:rPr>
                <w:rFonts w:ascii="Cambria Math" w:hAnsi="Cambria Math"/>
                <w:i/>
                <w:sz w:val="18"/>
                <w:szCs w:val="18"/>
                <w:lang w:val="en-US"/>
              </w:rPr>
            </m:ctrlPr>
          </m:sSubSupPr>
          <m:e>
            <m:r>
              <w:rPr>
                <w:rFonts w:ascii="Cambria Math" w:hAnsi="Cambria Math"/>
                <w:sz w:val="18"/>
                <w:szCs w:val="18"/>
                <w:lang w:val="en-US"/>
              </w:rPr>
              <m:t>b</m:t>
            </m:r>
          </m:e>
          <m:sub>
            <m:r>
              <w:rPr>
                <w:rFonts w:ascii="Cambria Math" w:hAnsi="Cambria Math"/>
                <w:sz w:val="18"/>
                <w:szCs w:val="18"/>
                <w:lang w:val="en-US"/>
              </w:rPr>
              <m:t>S</m:t>
            </m:r>
            <m:r>
              <w:rPr>
                <w:rFonts w:ascii="Cambria Math" w:hAnsi="Cambria Math"/>
                <w:sz w:val="18"/>
                <w:szCs w:val="18"/>
              </w:rPr>
              <m:t>1</m:t>
            </m:r>
          </m:sub>
          <m:sup>
            <m:r>
              <w:rPr>
                <w:rFonts w:ascii="Cambria Math" w:hAnsi="Cambria Math"/>
                <w:sz w:val="18"/>
                <w:szCs w:val="18"/>
                <w:lang w:val="en-US"/>
              </w:rPr>
              <m:t>P</m:t>
            </m:r>
            <m:r>
              <w:rPr>
                <w:rFonts w:ascii="Cambria Math" w:hAnsi="Cambria Math"/>
                <w:sz w:val="18"/>
                <w:szCs w:val="18"/>
              </w:rPr>
              <m:t>2</m:t>
            </m:r>
          </m:sup>
        </m:sSubSup>
        <m:r>
          <w:rPr>
            <w:rFonts w:ascii="Cambria Math" w:hAnsi="Cambria Math"/>
            <w:sz w:val="18"/>
            <w:szCs w:val="18"/>
          </w:rPr>
          <m:t>+</m:t>
        </m:r>
        <m:r>
          <w:rPr>
            <w:rFonts w:ascii="Cambria Math" w:hAnsi="Cambria Math"/>
            <w:sz w:val="18"/>
            <w:szCs w:val="18"/>
            <w:lang w:val="en-US"/>
          </w:rPr>
          <m:t>pro</m:t>
        </m:r>
        <m:sSubSup>
          <m:sSubSupPr>
            <m:ctrlPr>
              <w:rPr>
                <w:rFonts w:ascii="Cambria Math" w:hAnsi="Cambria Math"/>
                <w:i/>
                <w:sz w:val="18"/>
                <w:szCs w:val="18"/>
                <w:lang w:val="en-US"/>
              </w:rPr>
            </m:ctrlPr>
          </m:sSubSupPr>
          <m:e>
            <m:r>
              <w:rPr>
                <w:rFonts w:ascii="Cambria Math" w:hAnsi="Cambria Math"/>
                <w:sz w:val="18"/>
                <w:szCs w:val="18"/>
                <w:lang w:val="en-US"/>
              </w:rPr>
              <m:t>b</m:t>
            </m:r>
          </m:e>
          <m:sub>
            <m:r>
              <w:rPr>
                <w:rFonts w:ascii="Cambria Math" w:hAnsi="Cambria Math"/>
                <w:sz w:val="18"/>
                <w:szCs w:val="18"/>
                <w:lang w:val="en-US"/>
              </w:rPr>
              <m:t>S</m:t>
            </m:r>
            <m:r>
              <w:rPr>
                <w:rFonts w:ascii="Cambria Math" w:hAnsi="Cambria Math"/>
                <w:sz w:val="18"/>
                <w:szCs w:val="18"/>
              </w:rPr>
              <m:t>2</m:t>
            </m:r>
          </m:sub>
          <m:sup>
            <m:r>
              <w:rPr>
                <w:rFonts w:ascii="Cambria Math" w:hAnsi="Cambria Math"/>
                <w:sz w:val="18"/>
                <w:szCs w:val="18"/>
                <w:lang w:val="en-US"/>
              </w:rPr>
              <m:t>P</m:t>
            </m:r>
            <m:r>
              <w:rPr>
                <w:rFonts w:ascii="Cambria Math" w:hAnsi="Cambria Math"/>
                <w:sz w:val="18"/>
                <w:szCs w:val="18"/>
              </w:rPr>
              <m:t>2</m:t>
            </m:r>
          </m:sup>
        </m:sSubSup>
      </m:oMath>
      <w:r w:rsidRPr="007C1030">
        <w:rPr>
          <w:rFonts w:ascii="Cambria Math" w:hAnsi="Cambria Math"/>
          <w:sz w:val="18"/>
          <w:szCs w:val="18"/>
        </w:rPr>
        <w:tab/>
      </w:r>
      <w:r w:rsidRPr="007C1030">
        <w:rPr>
          <w:rFonts w:ascii="Cambria Math" w:hAnsi="Cambria Math"/>
          <w:sz w:val="18"/>
          <w:szCs w:val="18"/>
        </w:rPr>
        <w:tab/>
      </w:r>
      <w:r>
        <w:rPr>
          <w:rFonts w:ascii="Cambria Math" w:hAnsi="Cambria Math"/>
        </w:rPr>
        <w:t>(11)</w:t>
      </w:r>
    </w:p>
    <w:p w14:paraId="2C9430B7" w14:textId="77777777" w:rsidR="00097C63" w:rsidRDefault="00FB6D14">
      <w:pPr>
        <w:pStyle w:val="tekstgowny"/>
        <w:rPr>
          <w:rFonts w:ascii="Cambria Math" w:hAnsi="Cambria Math"/>
        </w:rPr>
      </w:pPr>
      <w:r>
        <w:rPr>
          <w:rFonts w:ascii="Cambria Math" w:hAnsi="Cambria Math" w:hint="eastAsia"/>
        </w:rPr>
        <w:t xml:space="preserve">Extending the above conclusion to a more general scenario, the probability of successfully implementing PM during the </w:t>
      </w:r>
      <w:r>
        <w:rPr>
          <w:rFonts w:ascii="Cambria Math" w:hAnsi="Cambria Math" w:hint="eastAsia"/>
          <w:i/>
          <w:iCs/>
        </w:rPr>
        <w:t>k</w:t>
      </w:r>
      <w:r>
        <w:rPr>
          <w:rFonts w:ascii="Cambria Math" w:hAnsi="Cambria Math" w:hint="eastAsia"/>
        </w:rPr>
        <w:t>-th (</w:t>
      </w:r>
      <w:r>
        <w:rPr>
          <w:rFonts w:ascii="Cambria Math" w:hAnsi="Cambria Math" w:hint="eastAsia"/>
          <w:i/>
          <w:iCs/>
        </w:rPr>
        <w:t>k</w:t>
      </w:r>
      <w:r>
        <w:rPr>
          <w:rFonts w:ascii="Cambria Math" w:hAnsi="Cambria Math"/>
        </w:rPr>
        <w:t>≥</w:t>
      </w:r>
      <w:r>
        <w:rPr>
          <w:rFonts w:ascii="Cambria Math" w:hAnsi="Cambria Math" w:hint="eastAsia"/>
        </w:rPr>
        <w:t>3) inspection can be expressed as:</w:t>
      </w:r>
    </w:p>
    <w:p w14:paraId="3FE3D37A" w14:textId="77777777" w:rsidR="00097C63" w:rsidRDefault="00097C63">
      <w:pPr>
        <w:pStyle w:val="tekstgowny"/>
        <w:ind w:firstLine="0"/>
        <w:rPr>
          <w:rFonts w:ascii="Cambria Math" w:hAnsi="Cambria Math"/>
          <w:lang w:val="en-US"/>
        </w:rPr>
        <w:sectPr w:rsidR="00097C63">
          <w:type w:val="continuous"/>
          <w:pgSz w:w="11906" w:h="16838"/>
          <w:pgMar w:top="1219" w:right="567" w:bottom="1219" w:left="567" w:header="765" w:footer="567" w:gutter="0"/>
          <w:cols w:num="2" w:space="566"/>
          <w:docGrid w:type="linesAndChars" w:linePitch="313" w:charSpace="139"/>
        </w:sect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55"/>
        <w:gridCol w:w="607"/>
      </w:tblGrid>
      <w:tr w:rsidR="00097C63" w14:paraId="07D7DB74" w14:textId="77777777">
        <w:tc>
          <w:tcPr>
            <w:tcW w:w="10155" w:type="dxa"/>
          </w:tcPr>
          <w:p w14:paraId="264EDC38" w14:textId="77777777" w:rsidR="00097C63" w:rsidRDefault="00FB6D14">
            <w:pPr>
              <w:pStyle w:val="tekstgowny"/>
              <w:ind w:firstLine="0"/>
              <w:rPr>
                <w:rFonts w:ascii="Cambria Math" w:hAnsi="Cambria Math"/>
                <w:lang w:val="en-US"/>
              </w:rPr>
            </w:pPr>
            <m:oMathPara>
              <m:oMathParaPr>
                <m:jc m:val="center"/>
              </m:oMathParaPr>
              <m:oMath>
                <m:sSub>
                  <m:sSubPr>
                    <m:ctrlPr>
                      <w:rPr>
                        <w:rFonts w:ascii="Cambria Math" w:hAnsi="Cambria Math"/>
                        <w:i/>
                        <w:lang w:val="en-US"/>
                      </w:rPr>
                    </m:ctrlPr>
                  </m:sSubPr>
                  <m:e>
                    <m:r>
                      <w:rPr>
                        <w:rFonts w:ascii="Cambria Math" w:hAnsi="Cambria Math"/>
                        <w:lang w:val="en-US"/>
                      </w:rPr>
                      <m:t>θ</m:t>
                    </m:r>
                  </m:e>
                  <m:sub>
                    <m:r>
                      <w:rPr>
                        <w:rFonts w:ascii="Cambria Math" w:hAnsi="Cambria Math"/>
                        <w:lang w:val="en-US"/>
                      </w:rPr>
                      <m:t>k</m:t>
                    </m:r>
                  </m:sub>
                </m:sSub>
                <m:r>
                  <w:rPr>
                    <w:rFonts w:ascii="Cambria Math" w:hAnsi="Cambria Math"/>
                    <w:lang w:val="en-US"/>
                  </w:rPr>
                  <m:t>=prob</m:t>
                </m:r>
                <m:d>
                  <m:dPr>
                    <m:begChr m:val="{"/>
                    <m:endChr m:val="}"/>
                    <m:ctrlPr>
                      <w:rPr>
                        <w:rFonts w:ascii="Cambria Math" w:hAnsi="Cambria Math"/>
                        <w:i/>
                        <w:lang w:val="en-US"/>
                      </w:rPr>
                    </m:ctrlPr>
                  </m:dPr>
                  <m:e>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k-2</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k-1</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e>
                </m:d>
                <m:r>
                  <w:rPr>
                    <w:rFonts w:ascii="Cambria Math" w:hAnsi="Cambria Math"/>
                    <w:lang w:val="en-US"/>
                  </w:rPr>
                  <m:t>⋅p+</m:t>
                </m:r>
                <m:nary>
                  <m:naryPr>
                    <m:chr m:val="∑"/>
                    <m:ctrlPr>
                      <w:rPr>
                        <w:rFonts w:ascii="Cambria Math" w:hAnsi="Cambria Math"/>
                        <w:i/>
                        <w:lang w:val="en-US"/>
                      </w:rPr>
                    </m:ctrlPr>
                  </m:naryPr>
                  <m:sub>
                    <m:r>
                      <w:rPr>
                        <w:rFonts w:ascii="Cambria Math" w:hAnsi="Cambria Math"/>
                        <w:lang w:val="en-US"/>
                      </w:rPr>
                      <m:t>n=2</m:t>
                    </m:r>
                  </m:sub>
                  <m:sup>
                    <m:r>
                      <w:rPr>
                        <w:rFonts w:ascii="Cambria Math" w:hAnsi="Cambria Math"/>
                        <w:lang w:val="en-US"/>
                      </w:rPr>
                      <m:t>k-1</m:t>
                    </m:r>
                  </m:sup>
                  <m:e>
                    <m:r>
                      <w:rPr>
                        <w:rFonts w:ascii="Cambria Math" w:hAnsi="Cambria Math"/>
                        <w:lang w:val="en-US"/>
                      </w:rPr>
                      <m:t>prob{L(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+(n-2)D)&lt;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e>
                </m:nary>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+(n-1)D)&lt;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+(k-1)D)&lt;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}⋅(1-p</m:t>
                </m:r>
                <m:sSup>
                  <m:sSupPr>
                    <m:ctrlPr>
                      <w:rPr>
                        <w:rFonts w:ascii="Cambria Math" w:hAnsi="Cambria Math"/>
                        <w:i/>
                        <w:lang w:val="en-US"/>
                      </w:rPr>
                    </m:ctrlPr>
                  </m:sSupPr>
                  <m:e>
                    <m:r>
                      <w:rPr>
                        <w:rFonts w:ascii="Cambria Math" w:hAnsi="Cambria Math"/>
                        <w:lang w:val="en-US"/>
                      </w:rPr>
                      <m:t>)</m:t>
                    </m:r>
                  </m:e>
                  <m:sup>
                    <m:r>
                      <w:rPr>
                        <w:rFonts w:ascii="Cambria Math" w:hAnsi="Cambria Math"/>
                        <w:lang w:val="en-US"/>
                      </w:rPr>
                      <m:t>k-n</m:t>
                    </m:r>
                  </m:sup>
                </m:sSup>
                <m:r>
                  <w:rPr>
                    <w:rFonts w:ascii="Cambria Math" w:hAnsi="Cambria Math"/>
                    <w:lang w:val="en-US"/>
                  </w:rPr>
                  <m:t>p +prob{</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+(k-1)D)&lt;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}⋅(1-p</m:t>
                </m:r>
                <m:sSup>
                  <m:sSupPr>
                    <m:ctrlPr>
                      <w:rPr>
                        <w:rFonts w:ascii="Cambria Math" w:hAnsi="Cambria Math"/>
                        <w:i/>
                        <w:lang w:val="en-US"/>
                      </w:rPr>
                    </m:ctrlPr>
                  </m:sSupPr>
                  <m:e>
                    <m:r>
                      <w:rPr>
                        <w:rFonts w:ascii="Cambria Math" w:hAnsi="Cambria Math"/>
                        <w:lang w:val="en-US"/>
                      </w:rPr>
                      <m:t>)</m:t>
                    </m:r>
                  </m:e>
                  <m:sup>
                    <m:r>
                      <w:rPr>
                        <w:rFonts w:ascii="Cambria Math" w:hAnsi="Cambria Math"/>
                        <w:lang w:val="en-US"/>
                      </w:rPr>
                      <m:t>k-1</m:t>
                    </m:r>
                  </m:sup>
                </m:sSup>
                <m:r>
                  <w:rPr>
                    <w:rFonts w:ascii="Cambria Math" w:hAnsi="Cambria Math"/>
                    <w:lang w:val="en-US"/>
                  </w:rPr>
                  <m:t>p</m:t>
                </m:r>
              </m:oMath>
            </m:oMathPara>
          </w:p>
        </w:tc>
        <w:tc>
          <w:tcPr>
            <w:tcW w:w="607" w:type="dxa"/>
            <w:vAlign w:val="center"/>
          </w:tcPr>
          <w:p w14:paraId="3A632038" w14:textId="77777777" w:rsidR="00097C63" w:rsidRDefault="00FB6D14">
            <w:pPr>
              <w:pStyle w:val="tekstgowny"/>
              <w:ind w:right="-122" w:firstLine="0"/>
              <w:jc w:val="right"/>
              <w:rPr>
                <w:rFonts w:ascii="Cambria Math" w:hAnsi="Cambria Math"/>
                <w:lang w:val="en-US"/>
              </w:rPr>
            </w:pPr>
            <w:r>
              <w:rPr>
                <w:rFonts w:ascii="Cambria Math" w:hAnsi="Cambria Math"/>
                <w:lang w:val="en-US"/>
              </w:rPr>
              <w:t>(12)</w:t>
            </w:r>
          </w:p>
        </w:tc>
      </w:tr>
    </w:tbl>
    <w:p w14:paraId="46257195" w14:textId="77777777" w:rsidR="00097C63" w:rsidRDefault="00FB6D14">
      <w:pPr>
        <w:pStyle w:val="tekstgowny"/>
        <w:ind w:firstLine="0"/>
        <w:rPr>
          <w:rFonts w:ascii="Cambria Math" w:hAnsi="Cambria Math"/>
        </w:rPr>
      </w:pPr>
      <w:r>
        <w:rPr>
          <w:rFonts w:ascii="Cambria Math" w:hAnsi="Cambria Math" w:hint="eastAsia"/>
        </w:rPr>
        <w:t>Among them:</w:t>
      </w:r>
    </w:p>
    <w:p w14:paraId="0FB023B1" w14:textId="77777777" w:rsidR="00097C63" w:rsidRPr="007C1030" w:rsidRDefault="00FB6D14">
      <w:pPr>
        <w:pStyle w:val="tekstgowny"/>
        <w:ind w:firstLine="0"/>
        <w:jc w:val="right"/>
        <w:rPr>
          <w:rFonts w:ascii="Cambria Math" w:hAnsi="Cambria Math"/>
        </w:rPr>
      </w:pPr>
      <m:oMath>
        <m:r>
          <w:rPr>
            <w:rFonts w:ascii="Cambria Math" w:hAnsi="Cambria Math"/>
            <w:lang w:val="en-US"/>
          </w:rPr>
          <m:t>prob</m:t>
        </m:r>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-2)</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&lt;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-1)</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nary>
          <m:naryPr>
            <m:ctrlPr>
              <w:rPr>
                <w:rFonts w:ascii="Cambria Math" w:hAnsi="Cambria Math"/>
                <w:i/>
                <w:lang w:val="en-US"/>
              </w:rPr>
            </m:ctrlPr>
          </m:naryPr>
          <m:sub>
            <m:r>
              <w:rPr>
                <w:rFonts w:ascii="Cambria Math" w:hAnsi="Cambria Math"/>
              </w:rPr>
              <m:t>0</m:t>
            </m:r>
          </m:sub>
          <m:sup>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sup>
          <m:e>
            <m:eqArr>
              <m:eqArrPr>
                <m:ctrlPr>
                  <w:rPr>
                    <w:rFonts w:ascii="Cambria Math" w:hAnsi="Cambria Math"/>
                    <w:i/>
                    <w:lang w:val="en-US"/>
                  </w:rPr>
                </m:ctrlPr>
              </m:eqArrPr>
              <m:e>
                <m:r>
                  <w:rPr>
                    <w:rFonts w:ascii="Cambria Math" w:hAnsi="Cambria Math"/>
                  </w:rPr>
                  <m:t>&amp;</m:t>
                </m:r>
                <m:r>
                  <w:rPr>
                    <w:rFonts w:ascii="Cambria Math" w:hAnsi="Cambria Math"/>
                    <w:lang w:val="en-US"/>
                  </w:rPr>
                  <m:t>f</m:t>
                </m:r>
                <m:r>
                  <w:rPr>
                    <w:rFonts w:ascii="Cambria Math" w:hAnsi="Cambria Math"/>
                  </w:rPr>
                  <m:t>(</m:t>
                </m:r>
                <m:r>
                  <w:rPr>
                    <w:rFonts w:ascii="Cambria Math" w:hAnsi="Cambria Math"/>
                    <w:lang w:val="en-US"/>
                  </w:rPr>
                  <m:t>t</m:t>
                </m:r>
                <m:r>
                  <w:rPr>
                    <w:rFonts w:ascii="Cambria Math" w:hAnsi="Cambria Math"/>
                  </w:rPr>
                  <m:t>,</m:t>
                </m:r>
                <m:r>
                  <w:rPr>
                    <w:rFonts w:ascii="Cambria Math" w:hAnsi="Cambria Math"/>
                    <w:lang w:val="en-US"/>
                  </w:rPr>
                  <m:t>u</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-2)</m:t>
                </m:r>
                <m:r>
                  <w:rPr>
                    <w:rFonts w:ascii="Cambria Math" w:hAnsi="Cambria Math"/>
                    <w:lang w:val="en-US"/>
                  </w:rPr>
                  <m:t>D</m:t>
                </m:r>
                <m:r>
                  <w:rPr>
                    <w:rFonts w:ascii="Cambria Math" w:hAnsi="Cambria Math"/>
                  </w:rPr>
                  <m:t>),</m:t>
                </m:r>
                <m:r>
                  <w:rPr>
                    <w:rFonts w:ascii="Cambria Math" w:hAnsi="Cambria Math"/>
                    <w:lang w:val="en-US"/>
                  </w:rPr>
                  <m:t>λ</m:t>
                </m:r>
                <m:r>
                  <w:rPr>
                    <w:rFonts w:ascii="Cambria Math" w:hAnsi="Cambria Math"/>
                  </w:rPr>
                  <m:t>)</m:t>
                </m:r>
              </m:e>
              <m:e>
                <m:r>
                  <w:rPr>
                    <w:rFonts w:ascii="Cambria Math" w:hAnsi="Cambria Math"/>
                  </w:rPr>
                  <m:t>&amp;⋅</m:t>
                </m:r>
                <m:nary>
                  <m:naryPr>
                    <m:ctrlPr>
                      <w:rPr>
                        <w:rFonts w:ascii="Cambria Math" w:hAnsi="Cambria Math"/>
                        <w:i/>
                        <w:lang w:val="en-US"/>
                      </w:rPr>
                    </m:ctrlPr>
                  </m:naryPr>
                  <m:sub>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m:t>
                    </m:r>
                    <m:r>
                      <w:rPr>
                        <w:rFonts w:ascii="Cambria Math" w:hAnsi="Cambria Math"/>
                        <w:lang w:val="en-US"/>
                      </w:rPr>
                      <m:t>t</m:t>
                    </m:r>
                  </m:sub>
                  <m:sup>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r>
                      <w:rPr>
                        <w:rFonts w:ascii="Cambria Math" w:hAnsi="Cambria Math"/>
                        <w:lang w:val="en-US"/>
                      </w:rPr>
                      <m:t>t</m:t>
                    </m:r>
                  </m:sup>
                  <m:e>
                    <m:r>
                      <w:rPr>
                        <w:rFonts w:ascii="Cambria Math" w:hAnsi="Cambria Math"/>
                        <w:lang w:val="en-US"/>
                      </w:rPr>
                      <m:t>f</m:t>
                    </m:r>
                    <m:r>
                      <w:rPr>
                        <w:rFonts w:ascii="Cambria Math" w:hAnsi="Cambria Math"/>
                      </w:rPr>
                      <m:t>(</m:t>
                    </m:r>
                    <m:r>
                      <w:rPr>
                        <w:rFonts w:ascii="Cambria Math" w:hAnsi="Cambria Math"/>
                        <w:lang w:val="en-US"/>
                      </w:rPr>
                      <m:t>v</m:t>
                    </m:r>
                    <m:r>
                      <w:rPr>
                        <w:rFonts w:ascii="Cambria Math" w:hAnsi="Cambria Math"/>
                      </w:rPr>
                      <m:t>,</m:t>
                    </m:r>
                    <m:r>
                      <w:rPr>
                        <w:rFonts w:ascii="Cambria Math" w:hAnsi="Cambria Math"/>
                        <w:lang w:val="en-US"/>
                      </w:rPr>
                      <m:t>D</m:t>
                    </m:r>
                    <m:r>
                      <w:rPr>
                        <w:rFonts w:ascii="Cambria Math" w:hAnsi="Cambria Math"/>
                      </w:rPr>
                      <m:t>,</m:t>
                    </m:r>
                    <m:r>
                      <w:rPr>
                        <w:rFonts w:ascii="Cambria Math" w:hAnsi="Cambria Math"/>
                        <w:lang w:val="en-US"/>
                      </w:rPr>
                      <m:t>λ</m:t>
                    </m:r>
                    <m:r>
                      <w:rPr>
                        <w:rFonts w:ascii="Cambria Math" w:hAnsi="Cambria Math"/>
                      </w:rPr>
                      <m:t>)</m:t>
                    </m:r>
                    <m:r>
                      <w:rPr>
                        <w:rFonts w:ascii="Cambria Math" w:hAnsi="Cambria Math"/>
                        <w:lang w:val="en-US"/>
                      </w:rPr>
                      <m:t>dv</m:t>
                    </m:r>
                  </m:e>
                </m:nary>
              </m:e>
            </m:eqArr>
          </m:e>
        </m:nary>
        <m:r>
          <w:rPr>
            <w:rFonts w:ascii="Cambria Math" w:hAnsi="Cambria Math"/>
            <w:lang w:val="en-US"/>
          </w:rPr>
          <m:t>dt</m:t>
        </m:r>
      </m:oMath>
      <w:r w:rsidRPr="007C1030">
        <w:rPr>
          <w:rFonts w:ascii="Cambria Math" w:hAnsi="Cambria Math"/>
        </w:rPr>
        <w:tab/>
        <w:t xml:space="preserve">       (13)</w:t>
      </w:r>
    </w:p>
    <w:p w14:paraId="2234BD9F" w14:textId="77777777" w:rsidR="00097C63" w:rsidRPr="007C1030" w:rsidRDefault="00097C63">
      <w:pPr>
        <w:pStyle w:val="tekstgowny"/>
        <w:ind w:firstLine="0"/>
        <w:rPr>
          <w:rFonts w:ascii="Cambria Math" w:hAnsi="Cambria Math"/>
        </w:rPr>
        <w:sectPr w:rsidR="00097C63" w:rsidRPr="007C1030">
          <w:type w:val="continuous"/>
          <w:pgSz w:w="11906" w:h="16838"/>
          <w:pgMar w:top="1219" w:right="567" w:bottom="1219" w:left="567" w:header="765" w:footer="567" w:gutter="0"/>
          <w:cols w:space="566"/>
          <w:docGrid w:type="linesAndChars" w:linePitch="313" w:charSpace="139"/>
        </w:sectPr>
      </w:pPr>
    </w:p>
    <w:p w14:paraId="45FC84FD" w14:textId="77777777" w:rsidR="00097C63" w:rsidRDefault="00FB6D14">
      <w:pPr>
        <w:pStyle w:val="tekstgowny"/>
        <w:rPr>
          <w:rFonts w:ascii="Cambria Math" w:hAnsi="Cambria Math"/>
        </w:rPr>
      </w:pPr>
      <w:r>
        <w:rPr>
          <w:rFonts w:ascii="Cambria Math" w:hAnsi="Cambria Math" w:hint="eastAsia"/>
        </w:rPr>
        <w:t>Formula (13) is the probability that all (</w:t>
      </w:r>
      <w:r>
        <w:rPr>
          <w:rFonts w:ascii="Cambria Math" w:hAnsi="Cambria Math" w:hint="eastAsia"/>
          <w:i/>
          <w:iCs/>
        </w:rPr>
        <w:t>k</w:t>
      </w:r>
      <w:r>
        <w:rPr>
          <w:rFonts w:ascii="Cambria Math" w:hAnsi="Cambria Math" w:hint="eastAsia"/>
        </w:rPr>
        <w:t xml:space="preserve">-1) inspections did not reach the PM threshold, and the </w:t>
      </w:r>
      <w:r>
        <w:rPr>
          <w:rFonts w:ascii="Cambria Math" w:hAnsi="Cambria Math" w:hint="eastAsia"/>
          <w:i/>
          <w:iCs/>
        </w:rPr>
        <w:t>k</w:t>
      </w:r>
      <w:r>
        <w:rPr>
          <w:rFonts w:ascii="Cambria Math" w:hAnsi="Cambria Math" w:hint="eastAsia"/>
        </w:rPr>
        <w:t xml:space="preserve">-th inspection </w:t>
      </w:r>
      <w:r>
        <w:rPr>
          <w:rFonts w:ascii="Cambria Math" w:hAnsi="Cambria Math" w:hint="eastAsia"/>
        </w:rPr>
        <w:t>reached the threshold and successfully implemented PM.</w:t>
      </w:r>
    </w:p>
    <w:p w14:paraId="498A0814" w14:textId="77777777" w:rsidR="00097C63" w:rsidRDefault="00097C63">
      <w:pPr>
        <w:pStyle w:val="tekstgowny"/>
        <w:rPr>
          <w:rFonts w:ascii="Cambria Math" w:hAnsi="Cambria Math"/>
        </w:rPr>
      </w:pPr>
    </w:p>
    <w:p w14:paraId="1A5C65C2" w14:textId="77777777" w:rsidR="00097C63" w:rsidRDefault="00097C63">
      <w:pPr>
        <w:pStyle w:val="tekstgowny"/>
        <w:rPr>
          <w:rFonts w:ascii="Cambria Math" w:hAnsi="Cambria Math"/>
        </w:rPr>
        <w:sectPr w:rsidR="00097C63">
          <w:type w:val="continuous"/>
          <w:pgSz w:w="11906" w:h="16838"/>
          <w:pgMar w:top="1219" w:right="567" w:bottom="1219" w:left="567" w:header="765" w:footer="567" w:gutter="0"/>
          <w:cols w:num="2" w:space="566"/>
          <w:docGrid w:type="linesAndChars" w:linePitch="313" w:charSpace="139"/>
        </w:sect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5"/>
        <w:gridCol w:w="607"/>
      </w:tblGrid>
      <w:tr w:rsidR="00097C63" w14:paraId="5416654B" w14:textId="77777777">
        <w:tc>
          <w:tcPr>
            <w:tcW w:w="10343" w:type="dxa"/>
          </w:tcPr>
          <w:p w14:paraId="128CAC0C" w14:textId="77777777" w:rsidR="00097C63" w:rsidRDefault="00FB6D14">
            <w:pPr>
              <w:pStyle w:val="tekstgowny"/>
              <w:ind w:firstLine="0"/>
              <w:rPr>
                <w:rFonts w:ascii="Cambria Math" w:hAnsi="Cambria Math"/>
                <w:lang w:val="en-US"/>
              </w:rPr>
            </w:pPr>
            <m:oMathPara>
              <m:oMathParaPr>
                <m:jc m:val="center"/>
              </m:oMathParaPr>
              <m:oMath>
                <m:r>
                  <w:rPr>
                    <w:rFonts w:ascii="Cambria Math" w:hAnsi="Cambria Math"/>
                    <w:lang w:val="en-US"/>
                  </w:rPr>
                  <m:t>prob</m:t>
                </m:r>
                <m:d>
                  <m:dPr>
                    <m:begChr m:val="{"/>
                    <m:endChr m:val="}"/>
                    <m:ctrlPr>
                      <w:rPr>
                        <w:rFonts w:ascii="Cambria Math" w:hAnsi="Cambria Math"/>
                        <w:i/>
                        <w:lang w:val="en-US"/>
                      </w:rPr>
                    </m:ctrlPr>
                  </m:dPr>
                  <m:e>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n-2</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n-1</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k-1</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e>
                </m:d>
                <m:r>
                  <w:rPr>
                    <w:rFonts w:ascii="Cambria Math" w:hAnsi="Cambria Math"/>
                    <w:lang w:val="en-US"/>
                  </w:rPr>
                  <m:t>=</m:t>
                </m:r>
                <m:nary>
                  <m:naryPr>
                    <m:ctrlPr>
                      <w:rPr>
                        <w:rFonts w:ascii="Cambria Math" w:hAnsi="Cambria Math"/>
                        <w:i/>
                        <w:lang w:val="en-US"/>
                      </w:rPr>
                    </m:ctrlPr>
                  </m:naryPr>
                  <m:sub>
                    <m:r>
                      <w:rPr>
                        <w:rFonts w:ascii="Cambria Math" w:hAnsi="Cambria Math"/>
                        <w:lang w:val="en-US"/>
                      </w:rPr>
                      <m:t>0</m:t>
                    </m:r>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sup>
                  <m:e>
                    <m:r>
                      <w:rPr>
                        <w:rFonts w:ascii="Cambria Math" w:hAnsi="Cambria Math"/>
                        <w:lang w:val="en-US"/>
                      </w:rPr>
                      <m:t>f(t,u(</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+(n-2)D),λ)</m:t>
                    </m:r>
                    <m:nary>
                      <m:naryPr>
                        <m:ctrlPr>
                          <w:rPr>
                            <w:rFonts w:ascii="Cambria Math" w:hAnsi="Cambria Math"/>
                            <w:i/>
                            <w:lang w:val="en-US"/>
                          </w:rPr>
                        </m:ctrlPr>
                      </m:naryPr>
                      <m:sub>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-t</m:t>
                        </m:r>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m:t>
                        </m:r>
                      </m:sup>
                      <m:e>
                        <m:r>
                          <w:rPr>
                            <w:rFonts w:ascii="Cambria Math" w:hAnsi="Cambria Math"/>
                            <w:lang w:val="en-US"/>
                          </w:rPr>
                          <m:t>f(v,uD,λ)</m:t>
                        </m:r>
                      </m:e>
                    </m:nary>
                  </m:e>
                </m:nary>
                <m:r>
                  <w:rPr>
                    <w:rFonts w:ascii="Cambria Math" w:hAnsi="Cambria Math"/>
                    <w:lang w:val="en-US"/>
                  </w:rPr>
                  <m:t>⋅F(</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-t-v,u(k-n)D,λ)dvdt</m:t>
                </m:r>
              </m:oMath>
            </m:oMathPara>
          </w:p>
        </w:tc>
        <w:tc>
          <w:tcPr>
            <w:tcW w:w="419" w:type="dxa"/>
            <w:vAlign w:val="center"/>
          </w:tcPr>
          <w:p w14:paraId="39B0F0E5" w14:textId="77777777" w:rsidR="00097C63" w:rsidRDefault="00FB6D14">
            <w:pPr>
              <w:pStyle w:val="tekstgowny"/>
              <w:ind w:right="-114" w:firstLine="0"/>
              <w:jc w:val="right"/>
              <w:rPr>
                <w:rFonts w:ascii="Cambria Math" w:hAnsi="Cambria Math"/>
                <w:lang w:val="en-US"/>
              </w:rPr>
            </w:pPr>
            <w:r>
              <w:rPr>
                <w:rFonts w:ascii="Cambria Math" w:hAnsi="Cambria Math"/>
                <w:lang w:val="en-US"/>
              </w:rPr>
              <w:t>(14)</w:t>
            </w:r>
          </w:p>
        </w:tc>
      </w:tr>
    </w:tbl>
    <w:p w14:paraId="65B87394" w14:textId="77777777" w:rsidR="00097C63" w:rsidRDefault="00097C63">
      <w:pPr>
        <w:pStyle w:val="tekstgowny"/>
        <w:ind w:firstLine="0"/>
        <w:rPr>
          <w:lang w:val="en-US"/>
        </w:rPr>
        <w:sectPr w:rsidR="00097C63">
          <w:type w:val="continuous"/>
          <w:pgSz w:w="11906" w:h="16838"/>
          <w:pgMar w:top="1219" w:right="567" w:bottom="1219" w:left="567" w:header="765" w:footer="567" w:gutter="0"/>
          <w:cols w:space="566"/>
          <w:docGrid w:type="linesAndChars" w:linePitch="313" w:charSpace="139"/>
        </w:sectPr>
      </w:pPr>
    </w:p>
    <w:p w14:paraId="662EE9F4" w14:textId="77777777" w:rsidR="00097C63" w:rsidRDefault="00FB6D14">
      <w:pPr>
        <w:pStyle w:val="tekstgowny"/>
      </w:pPr>
      <w:r>
        <w:rPr>
          <w:rFonts w:hint="eastAsia"/>
        </w:rPr>
        <w:t>Formula (14) is the probability that the (</w:t>
      </w:r>
      <w:r>
        <w:rPr>
          <w:rFonts w:hint="eastAsia"/>
          <w:i/>
          <w:iCs/>
        </w:rPr>
        <w:t>k</w:t>
      </w:r>
      <w:r>
        <w:rPr>
          <w:rFonts w:hint="eastAsia"/>
        </w:rPr>
        <w:t>-2)-th inspection did not reach the threshold, the (</w:t>
      </w:r>
      <w:r>
        <w:rPr>
          <w:rFonts w:hint="eastAsia"/>
          <w:i/>
          <w:iCs/>
        </w:rPr>
        <w:t>k</w:t>
      </w:r>
      <w:r>
        <w:rPr>
          <w:rFonts w:hint="eastAsia"/>
        </w:rPr>
        <w:t xml:space="preserve">-1)-th inspection reached the </w:t>
      </w:r>
      <w:r>
        <w:rPr>
          <w:rFonts w:hint="eastAsia"/>
        </w:rPr>
        <w:t xml:space="preserve">threshold but failed to implement PM, and the </w:t>
      </w:r>
      <w:r>
        <w:rPr>
          <w:rFonts w:hint="eastAsia"/>
          <w:i/>
          <w:iCs/>
        </w:rPr>
        <w:t>k</w:t>
      </w:r>
      <w:r>
        <w:rPr>
          <w:rFonts w:hint="eastAsia"/>
        </w:rPr>
        <w:t>-th inspection successfully implemented PM.</w:t>
      </w:r>
    </w:p>
    <w:p w14:paraId="4D9777B6" w14:textId="77777777" w:rsidR="00097C63" w:rsidRDefault="00097C63">
      <w:pPr>
        <w:pStyle w:val="tekstgowny"/>
        <w:ind w:firstLine="0"/>
        <w:rPr>
          <w:lang w:val="en-US"/>
        </w:rPr>
        <w:sectPr w:rsidR="00097C63">
          <w:type w:val="continuous"/>
          <w:pgSz w:w="11906" w:h="16838"/>
          <w:pgMar w:top="1219" w:right="567" w:bottom="1219" w:left="567" w:header="765" w:footer="567" w:gutter="0"/>
          <w:cols w:num="2" w:space="566"/>
          <w:docGrid w:type="linesAndChars" w:linePitch="313" w:charSpace="139"/>
        </w:sectPr>
      </w:pPr>
    </w:p>
    <w:p w14:paraId="7F667937" w14:textId="77777777" w:rsidR="00097C63" w:rsidRDefault="00FB6D14">
      <w:pPr>
        <w:pStyle w:val="tekstgowny"/>
        <w:ind w:firstLine="0"/>
        <w:jc w:val="right"/>
        <w:rPr>
          <w:rFonts w:ascii="Cambria Math" w:hAnsi="Cambria Math"/>
          <w:lang w:val="en-US"/>
        </w:rPr>
      </w:pPr>
      <m:oMath>
        <m:r>
          <w:rPr>
            <w:rFonts w:ascii="Cambria Math" w:hAnsi="Cambria Math"/>
            <w:lang w:val="en-US"/>
          </w:rPr>
          <m:t>prob{</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+(k-1)D)&lt;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nary>
          <m:naryPr>
            <m:ctrlPr>
              <w:rPr>
                <w:rFonts w:ascii="Cambria Math" w:hAnsi="Cambria Math"/>
                <w:i/>
                <w:lang w:val="en-US"/>
              </w:rPr>
            </m:ctrlPr>
          </m:naryPr>
          <m:sub>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sup>
          <m:e>
            <m:r>
              <w:rPr>
                <w:rFonts w:ascii="Cambria Math" w:hAnsi="Cambria Math"/>
                <w:lang w:val="en-US"/>
              </w:rPr>
              <m:t>f(t,u</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,λ)F(</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-t;u(k-1)D,λ)dt</m:t>
            </m:r>
          </m:e>
        </m:nary>
      </m:oMath>
      <w:r>
        <w:rPr>
          <w:lang w:val="en-US"/>
        </w:rPr>
        <w:t xml:space="preserve"> </w:t>
      </w:r>
      <w:r>
        <w:rPr>
          <w:lang w:val="en-US"/>
        </w:rPr>
        <w:tab/>
        <w:t xml:space="preserve">           </w:t>
      </w:r>
      <w:r>
        <w:rPr>
          <w:rFonts w:ascii="Cambria Math" w:hAnsi="Cambria Math"/>
          <w:lang w:val="en-US"/>
        </w:rPr>
        <w:t>(15)</w:t>
      </w:r>
    </w:p>
    <w:p w14:paraId="46D86F56" w14:textId="77777777" w:rsidR="00097C63" w:rsidRDefault="00097C63">
      <w:pPr>
        <w:pStyle w:val="tekstgowny"/>
        <w:ind w:firstLine="0"/>
        <w:rPr>
          <w:lang w:val="en-US"/>
        </w:rPr>
        <w:sectPr w:rsidR="00097C63">
          <w:type w:val="continuous"/>
          <w:pgSz w:w="11906" w:h="16838"/>
          <w:pgMar w:top="1219" w:right="567" w:bottom="1219" w:left="567" w:header="765" w:footer="567" w:gutter="0"/>
          <w:cols w:space="566"/>
          <w:docGrid w:type="linesAndChars" w:linePitch="313" w:charSpace="139"/>
        </w:sectPr>
      </w:pPr>
    </w:p>
    <w:p w14:paraId="1605CC39" w14:textId="77777777" w:rsidR="00097C63" w:rsidRDefault="00FB6D14">
      <w:pPr>
        <w:pStyle w:val="tekstgowny"/>
      </w:pPr>
      <w:r>
        <w:rPr>
          <w:rFonts w:hint="eastAsia"/>
        </w:rPr>
        <w:t xml:space="preserve">Formula (15) represents the probability of successful implementation of PM during the </w:t>
      </w:r>
      <w:r>
        <w:rPr>
          <w:rFonts w:hint="eastAsia"/>
          <w:i/>
          <w:iCs/>
        </w:rPr>
        <w:t>k</w:t>
      </w:r>
      <w:r>
        <w:rPr>
          <w:rFonts w:hint="eastAsia"/>
        </w:rPr>
        <w:t>-th inspection, where all (</w:t>
      </w:r>
      <w:r>
        <w:rPr>
          <w:rFonts w:hint="eastAsia"/>
          <w:i/>
          <w:iCs/>
        </w:rPr>
        <w:t>k</w:t>
      </w:r>
      <w:r>
        <w:rPr>
          <w:rFonts w:hint="eastAsia"/>
        </w:rPr>
        <w:t>-1) inspections have reached the threshold but failed to implement PM.</w:t>
      </w:r>
    </w:p>
    <w:p w14:paraId="6E6AF39B" w14:textId="77777777" w:rsidR="00097C63" w:rsidRDefault="00FB6D14">
      <w:pPr>
        <w:pStyle w:val="Nagwek2"/>
      </w:pPr>
      <w:r>
        <w:t xml:space="preserve">4.3. </w:t>
      </w:r>
      <w:r>
        <w:rPr>
          <w:rFonts w:hint="eastAsia"/>
        </w:rPr>
        <w:t>Probability model for corrective maintenance</w:t>
      </w:r>
    </w:p>
    <w:p w14:paraId="31151108" w14:textId="77777777" w:rsidR="00097C63" w:rsidRDefault="00FB6D14">
      <w:pPr>
        <w:pStyle w:val="tekstgowny"/>
        <w:ind w:firstLine="0"/>
      </w:pPr>
      <w:r>
        <w:rPr>
          <w:rFonts w:hint="eastAsia"/>
        </w:rPr>
        <w:t xml:space="preserve">Denote the probability of performing CM at the k-th inspection as </w:t>
      </w:r>
      <m:oMath>
        <m:sSub>
          <m:sSubPr>
            <m:ctrlPr>
              <w:rPr>
                <w:rFonts w:ascii="Cambria Math" w:hAnsi="Cambria Math"/>
                <w:i/>
                <w:iCs/>
              </w:rPr>
            </m:ctrlPr>
          </m:sSubPr>
          <m:e>
            <m:r>
              <w:rPr>
                <w:rFonts w:ascii="Cambria Math" w:hAnsi="Cambria Math"/>
              </w:rPr>
              <m:t>ψ</m:t>
            </m:r>
          </m:e>
          <m:sub>
            <m:r>
              <w:rPr>
                <w:rFonts w:ascii="Cambria Math" w:hAnsi="Cambria Math"/>
              </w:rPr>
              <m:t>k</m:t>
            </m:r>
          </m:sub>
        </m:sSub>
      </m:oMath>
      <w:r>
        <w:rPr>
          <w:rFonts w:hint="eastAsia"/>
        </w:rPr>
        <w:t>. The probability of performing CM during the first inspection is:</w:t>
      </w:r>
    </w:p>
    <w:p w14:paraId="1116A93D" w14:textId="77777777" w:rsidR="00097C63" w:rsidRDefault="00FB6D14">
      <w:pPr>
        <w:pStyle w:val="tekstgowny"/>
        <w:ind w:firstLine="0"/>
        <w:jc w:val="right"/>
        <w:rPr>
          <w:lang w:val="en-US"/>
        </w:rPr>
      </w:pPr>
      <m:oMath>
        <m:sSub>
          <m:sSubPr>
            <m:ctrlPr>
              <w:rPr>
                <w:rFonts w:ascii="Cambria Math" w:hAnsi="Cambria Math"/>
                <w:i/>
                <w:color w:val="000000" w:themeColor="text1"/>
              </w:rPr>
            </m:ctrlPr>
          </m:sSubPr>
          <m:e>
            <m:r>
              <w:rPr>
                <w:rFonts w:ascii="Cambria Math"/>
                <w:color w:val="000000" w:themeColor="text1"/>
              </w:rPr>
              <m:t>ψ</m:t>
            </m:r>
          </m:e>
          <m:sub>
            <m:r>
              <w:rPr>
                <w:rFonts w:ascii="Cambria Math"/>
                <w:color w:val="000000" w:themeColor="text1"/>
              </w:rPr>
              <m:t>1</m:t>
            </m:r>
          </m:sub>
        </m:sSub>
        <m:r>
          <w:rPr>
            <w:rFonts w:ascii="Cambria Math"/>
            <w:color w:val="000000" w:themeColor="text1"/>
          </w:rPr>
          <m:t>=prob{L(</m:t>
        </m:r>
        <m:sSub>
          <m:sSubPr>
            <m:ctrlPr>
              <w:rPr>
                <w:rFonts w:ascii="Cambria Math" w:hAnsi="Cambria Math"/>
                <w:i/>
                <w:color w:val="000000" w:themeColor="text1"/>
              </w:rPr>
            </m:ctrlPr>
          </m:sSubPr>
          <m:e>
            <m:r>
              <w:rPr>
                <w:rFonts w:ascii="Cambria Math"/>
                <w:color w:val="000000" w:themeColor="text1"/>
              </w:rPr>
              <m:t>D</m:t>
            </m:r>
          </m:e>
          <m:sub>
            <m:r>
              <w:rPr>
                <w:rFonts w:ascii="Cambria Math"/>
                <w:color w:val="000000" w:themeColor="text1"/>
              </w:rPr>
              <m:t>1</m:t>
            </m:r>
          </m:sub>
        </m:sSub>
        <m:r>
          <w:rPr>
            <w:rFonts w:ascii="Cambria Math"/>
            <w:color w:val="000000" w:themeColor="text1"/>
          </w:rPr>
          <m:t>)&gt;</m:t>
        </m:r>
        <m:sSub>
          <m:sSubPr>
            <m:ctrlPr>
              <w:rPr>
                <w:rFonts w:ascii="Cambria Math" w:hAnsi="Cambria Math"/>
                <w:i/>
                <w:color w:val="000000" w:themeColor="text1"/>
              </w:rPr>
            </m:ctrlPr>
          </m:sSubPr>
          <m:e>
            <m:r>
              <w:rPr>
                <w:rFonts w:ascii="Cambria Math"/>
                <w:color w:val="000000" w:themeColor="text1"/>
              </w:rPr>
              <m:t>h</m:t>
            </m:r>
          </m:e>
          <m:sub>
            <m:r>
              <w:rPr>
                <w:rFonts w:ascii="Cambria Math"/>
                <w:color w:val="000000" w:themeColor="text1"/>
              </w:rPr>
              <m:t>f</m:t>
            </m:r>
          </m:sub>
        </m:sSub>
        <m:r>
          <w:rPr>
            <w:rFonts w:ascii="Cambria Math"/>
            <w:color w:val="000000" w:themeColor="text1"/>
          </w:rPr>
          <m:t>}</m:t>
        </m:r>
      </m:oMath>
      <w:r>
        <w:rPr>
          <w:color w:val="000000" w:themeColor="text1"/>
        </w:rPr>
        <w:t xml:space="preserve"> </w:t>
      </w:r>
      <w:r>
        <w:rPr>
          <w:color w:val="000000" w:themeColor="text1"/>
        </w:rPr>
        <w:tab/>
      </w:r>
      <w:r>
        <w:rPr>
          <w:color w:val="000000" w:themeColor="text1"/>
        </w:rPr>
        <w:tab/>
      </w:r>
      <w:r>
        <w:rPr>
          <w:rFonts w:ascii="Cambria Math" w:hAnsi="Cambria Math"/>
          <w:color w:val="000000" w:themeColor="text1"/>
        </w:rPr>
        <w:t>(16)</w:t>
      </w:r>
    </w:p>
    <w:p w14:paraId="5D4FE59A" w14:textId="77777777" w:rsidR="00097C63" w:rsidRDefault="00FB6D14">
      <w:pPr>
        <w:pStyle w:val="tekstgowny"/>
      </w:pPr>
      <w:r>
        <w:rPr>
          <w:rFonts w:hint="eastAsia"/>
        </w:rPr>
        <w:t xml:space="preserve">When analyzing the feasibility of implementing CM during the second inspection, the results of the first inspection must be taken into account. Based on this, the situation of adopting CM during the second inspection can be divided into two categories: firstly, the system was in a fault-free state during the first inspection, but by the second inspection, its accumulated degradation level had exceeded the preset fault threshold; </w:t>
      </w:r>
      <w:r>
        <w:rPr>
          <w:rFonts w:hint="eastAsia"/>
        </w:rPr>
        <w:t>Secondly, although the system showed signs of requiring PM during the initial inspection, the maintenance was not successfully implemented, resulting in degradation exceeding the fault threshold during the second inspection. For the first scenario, the probability of its occurrence can be calculated as follows:</w:t>
      </w:r>
    </w:p>
    <w:p w14:paraId="6C5D2D15" w14:textId="77777777" w:rsidR="00097C63" w:rsidRPr="007C1030" w:rsidRDefault="00FB6D14">
      <w:pPr>
        <w:pStyle w:val="tekstgowny"/>
        <w:ind w:firstLine="0"/>
        <w:jc w:val="right"/>
      </w:pPr>
      <m:oMath>
        <m:r>
          <w:rPr>
            <w:rFonts w:ascii="Cambria Math" w:hAnsi="Cambria Math"/>
            <w:lang w:val="en-US"/>
          </w:rPr>
          <m:t>pro</m:t>
        </m:r>
        <m:sSubSup>
          <m:sSubSupPr>
            <m:ctrlPr>
              <w:rPr>
                <w:rFonts w:ascii="Cambria Math" w:hAnsi="Cambria Math"/>
                <w:i/>
                <w:lang w:val="en-US"/>
              </w:rPr>
            </m:ctrlPr>
          </m:sSubSupPr>
          <m:e>
            <m:r>
              <w:rPr>
                <w:rFonts w:ascii="Cambria Math" w:hAnsi="Cambria Math"/>
                <w:lang w:val="en-US"/>
              </w:rPr>
              <m:t>b</m:t>
            </m:r>
          </m:e>
          <m:sub>
            <m:r>
              <w:rPr>
                <w:rFonts w:ascii="Cambria Math" w:hAnsi="Cambria Math"/>
                <w:lang w:val="en-US"/>
              </w:rPr>
              <m:t>S</m:t>
            </m:r>
            <m:r>
              <w:rPr>
                <w:rFonts w:ascii="Cambria Math" w:hAnsi="Cambria Math"/>
              </w:rPr>
              <m:t>1</m:t>
            </m:r>
          </m:sub>
          <m:sup>
            <m:r>
              <w:rPr>
                <w:rFonts w:ascii="Cambria Math" w:hAnsi="Cambria Math"/>
                <w:lang w:val="en-US"/>
              </w:rPr>
              <m:t>C</m:t>
            </m:r>
            <m:r>
              <w:rPr>
                <w:rFonts w:ascii="Cambria Math" w:hAnsi="Cambria Math"/>
              </w:rPr>
              <m:t>2</m:t>
            </m:r>
          </m:sup>
        </m:sSubSup>
        <m:r>
          <w:rPr>
            <w:rFonts w:ascii="Cambria Math" w:hAnsi="Cambria Math"/>
          </w:rPr>
          <m:t>=</m:t>
        </m:r>
        <m:r>
          <w:rPr>
            <w:rFonts w:ascii="Cambria Math" w:hAnsi="Cambria Math"/>
            <w:lang w:val="en-US"/>
          </w:rPr>
          <m:t>prob</m:t>
        </m:r>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 xml:space="preserve"> ∩ </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D</m:t>
        </m:r>
        <m:r>
          <w:rPr>
            <w:rFonts w:ascii="Cambria Math" w:hAnsi="Cambria Math"/>
          </w:rPr>
          <m:t>)&gt;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oMath>
      <w:r w:rsidRPr="007C1030">
        <w:t xml:space="preserve">     </w:t>
      </w:r>
      <w:r w:rsidRPr="007C1030">
        <w:rPr>
          <w:rFonts w:ascii="Cambria Math" w:hAnsi="Cambria Math"/>
        </w:rPr>
        <w:t>(17)</w:t>
      </w:r>
    </w:p>
    <w:p w14:paraId="73EDFD67" w14:textId="77777777" w:rsidR="00097C63" w:rsidRDefault="00FB6D14">
      <w:pPr>
        <w:pStyle w:val="tekstgowny"/>
      </w:pPr>
      <w:r>
        <w:rPr>
          <w:rFonts w:hint="eastAsia"/>
        </w:rPr>
        <w:t>The probability of the occurrence of situation two can be expressed as:</w:t>
      </w:r>
    </w:p>
    <w:p w14:paraId="10E2E9B2" w14:textId="77777777" w:rsidR="00097C63" w:rsidRPr="007C1030" w:rsidRDefault="00FB6D14">
      <w:pPr>
        <w:pStyle w:val="tekstgowny"/>
        <w:ind w:firstLine="0"/>
        <w:jc w:val="right"/>
      </w:pPr>
      <m:oMath>
        <m:r>
          <w:rPr>
            <w:rFonts w:ascii="Cambria Math" w:hAnsi="Cambria Math"/>
            <w:sz w:val="17"/>
            <w:szCs w:val="17"/>
            <w:lang w:val="en-US"/>
          </w:rPr>
          <m:t>pro</m:t>
        </m:r>
        <m:sSubSup>
          <m:sSubSupPr>
            <m:ctrlPr>
              <w:rPr>
                <w:rFonts w:ascii="Cambria Math" w:hAnsi="Cambria Math"/>
                <w:i/>
                <w:sz w:val="17"/>
                <w:szCs w:val="17"/>
                <w:lang w:val="en-US"/>
              </w:rPr>
            </m:ctrlPr>
          </m:sSubSupPr>
          <m:e>
            <m:r>
              <w:rPr>
                <w:rFonts w:ascii="Cambria Math" w:hAnsi="Cambria Math"/>
                <w:sz w:val="17"/>
                <w:szCs w:val="17"/>
                <w:lang w:val="en-US"/>
              </w:rPr>
              <m:t>b</m:t>
            </m:r>
          </m:e>
          <m:sub>
            <m:r>
              <w:rPr>
                <w:rFonts w:ascii="Cambria Math" w:hAnsi="Cambria Math"/>
                <w:sz w:val="17"/>
                <w:szCs w:val="17"/>
                <w:lang w:val="en-US"/>
              </w:rPr>
              <m:t>S</m:t>
            </m:r>
            <m:r>
              <w:rPr>
                <w:rFonts w:ascii="Cambria Math" w:hAnsi="Cambria Math"/>
                <w:sz w:val="17"/>
                <w:szCs w:val="17"/>
              </w:rPr>
              <m:t>2</m:t>
            </m:r>
          </m:sub>
          <m:sup>
            <m:r>
              <w:rPr>
                <w:rFonts w:ascii="Cambria Math" w:hAnsi="Cambria Math"/>
                <w:sz w:val="17"/>
                <w:szCs w:val="17"/>
                <w:lang w:val="en-US"/>
              </w:rPr>
              <m:t>C</m:t>
            </m:r>
            <m:r>
              <w:rPr>
                <w:rFonts w:ascii="Cambria Math" w:hAnsi="Cambria Math"/>
                <w:sz w:val="17"/>
                <w:szCs w:val="17"/>
              </w:rPr>
              <m:t>2</m:t>
            </m:r>
          </m:sup>
        </m:sSubSup>
        <m:r>
          <w:rPr>
            <w:rFonts w:ascii="Cambria Math" w:hAnsi="Cambria Math"/>
            <w:sz w:val="17"/>
            <w:szCs w:val="17"/>
          </w:rPr>
          <m:t>=</m:t>
        </m:r>
        <m:r>
          <w:rPr>
            <w:rFonts w:ascii="Cambria Math" w:hAnsi="Cambria Math"/>
            <w:sz w:val="17"/>
            <w:szCs w:val="17"/>
            <w:lang w:val="en-US"/>
          </w:rPr>
          <m:t>prob</m:t>
        </m:r>
        <m:r>
          <w:rPr>
            <w:rFonts w:ascii="Cambria Math" w:hAnsi="Cambria Math"/>
            <w:sz w:val="17"/>
            <w:szCs w:val="17"/>
          </w:rPr>
          <m:t>{</m:t>
        </m:r>
        <m:sSub>
          <m:sSubPr>
            <m:ctrlPr>
              <w:rPr>
                <w:rFonts w:ascii="Cambria Math" w:hAnsi="Cambria Math"/>
                <w:i/>
                <w:sz w:val="17"/>
                <w:szCs w:val="17"/>
                <w:lang w:val="en-US"/>
              </w:rPr>
            </m:ctrlPr>
          </m:sSubPr>
          <m:e>
            <m:r>
              <w:rPr>
                <w:rFonts w:ascii="Cambria Math" w:hAnsi="Cambria Math"/>
                <w:sz w:val="17"/>
                <w:szCs w:val="17"/>
              </w:rPr>
              <m:t>h</m:t>
            </m:r>
          </m:e>
          <m:sub>
            <m:r>
              <w:rPr>
                <w:rFonts w:ascii="Cambria Math" w:hAnsi="Cambria Math"/>
                <w:sz w:val="17"/>
                <w:szCs w:val="17"/>
                <w:lang w:val="en-US"/>
              </w:rPr>
              <m:t>p</m:t>
            </m:r>
          </m:sub>
        </m:sSub>
        <m:r>
          <w:rPr>
            <w:rFonts w:ascii="Cambria Math" w:hAnsi="Cambria Math"/>
            <w:sz w:val="17"/>
            <w:szCs w:val="17"/>
          </w:rPr>
          <m:t>​&lt;</m:t>
        </m:r>
        <m:r>
          <w:rPr>
            <w:rFonts w:ascii="Cambria Math" w:hAnsi="Cambria Math"/>
            <w:sz w:val="17"/>
            <w:szCs w:val="17"/>
            <w:lang w:val="en-US"/>
          </w:rPr>
          <m:t>L</m:t>
        </m:r>
        <m:r>
          <w:rPr>
            <w:rFonts w:ascii="Cambria Math" w:hAnsi="Cambria Math"/>
            <w:sz w:val="17"/>
            <w:szCs w:val="17"/>
          </w:rPr>
          <m:t>(</m:t>
        </m:r>
        <m:sSub>
          <m:sSubPr>
            <m:ctrlPr>
              <w:rPr>
                <w:rFonts w:ascii="Cambria Math" w:hAnsi="Cambria Math"/>
                <w:i/>
                <w:sz w:val="17"/>
                <w:szCs w:val="17"/>
                <w:lang w:val="en-US"/>
              </w:rPr>
            </m:ctrlPr>
          </m:sSubPr>
          <m:e>
            <m:r>
              <w:rPr>
                <w:rFonts w:ascii="Cambria Math" w:hAnsi="Cambria Math"/>
                <w:sz w:val="17"/>
                <w:szCs w:val="17"/>
                <w:lang w:val="en-US"/>
              </w:rPr>
              <m:t>D</m:t>
            </m:r>
          </m:e>
          <m:sub>
            <m:r>
              <w:rPr>
                <w:rFonts w:ascii="Cambria Math" w:hAnsi="Cambria Math"/>
                <w:sz w:val="17"/>
                <w:szCs w:val="17"/>
              </w:rPr>
              <m:t>1</m:t>
            </m:r>
          </m:sub>
        </m:sSub>
        <m:r>
          <w:rPr>
            <w:rFonts w:ascii="Cambria Math" w:hAnsi="Cambria Math"/>
            <w:sz w:val="17"/>
            <w:szCs w:val="17"/>
          </w:rPr>
          <m:t>)&lt;</m:t>
        </m:r>
        <m:sSub>
          <m:sSubPr>
            <m:ctrlPr>
              <w:rPr>
                <w:rFonts w:ascii="Cambria Math" w:hAnsi="Cambria Math"/>
                <w:i/>
                <w:sz w:val="17"/>
                <w:szCs w:val="17"/>
                <w:lang w:val="en-US"/>
              </w:rPr>
            </m:ctrlPr>
          </m:sSubPr>
          <m:e>
            <m:r>
              <w:rPr>
                <w:rFonts w:ascii="Cambria Math" w:hAnsi="Cambria Math"/>
                <w:sz w:val="17"/>
                <w:szCs w:val="17"/>
              </w:rPr>
              <m:t>h</m:t>
            </m:r>
          </m:e>
          <m:sub>
            <m:r>
              <w:rPr>
                <w:rFonts w:ascii="Cambria Math" w:hAnsi="Cambria Math"/>
                <w:sz w:val="17"/>
                <w:szCs w:val="17"/>
                <w:lang w:val="en-US"/>
              </w:rPr>
              <m:t>f</m:t>
            </m:r>
          </m:sub>
        </m:sSub>
        <m:r>
          <w:rPr>
            <w:rFonts w:ascii="Cambria Math" w:hAnsi="Cambria Math"/>
            <w:sz w:val="17"/>
            <w:szCs w:val="17"/>
          </w:rPr>
          <m:t xml:space="preserve"> ∩ </m:t>
        </m:r>
        <m:r>
          <w:rPr>
            <w:rFonts w:ascii="Cambria Math" w:hAnsi="Cambria Math"/>
            <w:sz w:val="17"/>
            <w:szCs w:val="17"/>
            <w:lang w:val="en-US"/>
          </w:rPr>
          <m:t>L</m:t>
        </m:r>
        <m:r>
          <w:rPr>
            <w:rFonts w:ascii="Cambria Math" w:hAnsi="Cambria Math"/>
            <w:sz w:val="17"/>
            <w:szCs w:val="17"/>
          </w:rPr>
          <m:t>(</m:t>
        </m:r>
        <m:sSub>
          <m:sSubPr>
            <m:ctrlPr>
              <w:rPr>
                <w:rFonts w:ascii="Cambria Math" w:hAnsi="Cambria Math"/>
                <w:i/>
                <w:sz w:val="17"/>
                <w:szCs w:val="17"/>
                <w:lang w:val="en-US"/>
              </w:rPr>
            </m:ctrlPr>
          </m:sSubPr>
          <m:e>
            <m:r>
              <w:rPr>
                <w:rFonts w:ascii="Cambria Math" w:hAnsi="Cambria Math"/>
                <w:sz w:val="17"/>
                <w:szCs w:val="17"/>
                <w:lang w:val="en-US"/>
              </w:rPr>
              <m:t>D</m:t>
            </m:r>
          </m:e>
          <m:sub>
            <m:r>
              <w:rPr>
                <w:rFonts w:ascii="Cambria Math" w:hAnsi="Cambria Math"/>
                <w:sz w:val="17"/>
                <w:szCs w:val="17"/>
              </w:rPr>
              <m:t>1</m:t>
            </m:r>
          </m:sub>
        </m:sSub>
        <m:r>
          <w:rPr>
            <w:rFonts w:ascii="Cambria Math" w:hAnsi="Cambria Math"/>
            <w:sz w:val="17"/>
            <w:szCs w:val="17"/>
          </w:rPr>
          <m:t>+</m:t>
        </m:r>
        <m:r>
          <w:rPr>
            <w:rFonts w:ascii="Cambria Math" w:hAnsi="Cambria Math"/>
            <w:sz w:val="17"/>
            <w:szCs w:val="17"/>
            <w:lang w:val="en-US"/>
          </w:rPr>
          <m:t>D</m:t>
        </m:r>
        <m:r>
          <w:rPr>
            <w:rFonts w:ascii="Cambria Math" w:hAnsi="Cambria Math"/>
            <w:sz w:val="17"/>
            <w:szCs w:val="17"/>
          </w:rPr>
          <m:t>)&gt;</m:t>
        </m:r>
        <m:sSub>
          <m:sSubPr>
            <m:ctrlPr>
              <w:rPr>
                <w:rFonts w:ascii="Cambria Math" w:hAnsi="Cambria Math"/>
                <w:i/>
                <w:sz w:val="17"/>
                <w:szCs w:val="17"/>
                <w:lang w:val="en-US"/>
              </w:rPr>
            </m:ctrlPr>
          </m:sSubPr>
          <m:e>
            <m:r>
              <w:rPr>
                <w:rFonts w:ascii="Cambria Math" w:hAnsi="Cambria Math"/>
                <w:sz w:val="17"/>
                <w:szCs w:val="17"/>
              </w:rPr>
              <m:t>h</m:t>
            </m:r>
          </m:e>
          <m:sub>
            <m:r>
              <w:rPr>
                <w:rFonts w:ascii="Cambria Math" w:hAnsi="Cambria Math"/>
                <w:sz w:val="17"/>
                <w:szCs w:val="17"/>
                <w:lang w:val="en-US"/>
              </w:rPr>
              <m:t>f</m:t>
            </m:r>
          </m:sub>
        </m:sSub>
        <m:r>
          <w:rPr>
            <w:rFonts w:ascii="Cambria Math" w:hAnsi="Cambria Math"/>
            <w:sz w:val="17"/>
            <w:szCs w:val="17"/>
          </w:rPr>
          <m:t>}×</m:t>
        </m:r>
        <m:d>
          <m:dPr>
            <m:ctrlPr>
              <w:rPr>
                <w:rFonts w:ascii="Cambria Math" w:hAnsi="Cambria Math"/>
                <w:i/>
                <w:sz w:val="17"/>
                <w:szCs w:val="17"/>
                <w:lang w:val="en-US"/>
              </w:rPr>
            </m:ctrlPr>
          </m:dPr>
          <m:e>
            <m:r>
              <w:rPr>
                <w:rFonts w:ascii="Cambria Math" w:hAnsi="Cambria Math"/>
                <w:sz w:val="17"/>
                <w:szCs w:val="17"/>
              </w:rPr>
              <m:t>1-</m:t>
            </m:r>
            <m:r>
              <w:rPr>
                <w:rFonts w:ascii="Cambria Math" w:hAnsi="Cambria Math"/>
                <w:sz w:val="17"/>
                <w:szCs w:val="17"/>
                <w:lang w:val="en-US"/>
              </w:rPr>
              <m:t>p</m:t>
            </m:r>
          </m:e>
        </m:d>
      </m:oMath>
      <w:r w:rsidRPr="007C1030">
        <w:rPr>
          <w:sz w:val="16"/>
          <w:szCs w:val="16"/>
        </w:rPr>
        <w:t xml:space="preserve">   </w:t>
      </w:r>
      <w:r w:rsidRPr="007C1030">
        <w:rPr>
          <w:rFonts w:ascii="Cambria Math" w:hAnsi="Cambria Math"/>
        </w:rPr>
        <w:t>(18)</w:t>
      </w:r>
    </w:p>
    <w:p w14:paraId="209AA74E" w14:textId="77777777" w:rsidR="00097C63" w:rsidRDefault="00FB6D14">
      <w:pPr>
        <w:pStyle w:val="tekstgowny"/>
      </w:pPr>
      <w:r>
        <w:rPr>
          <w:rFonts w:hint="eastAsia"/>
        </w:rPr>
        <w:t>The probability of performing CM during the second inspection is:</w:t>
      </w:r>
    </w:p>
    <w:p w14:paraId="31E08C76" w14:textId="77777777" w:rsidR="00097C63" w:rsidRPr="007C1030" w:rsidRDefault="00FB6D14">
      <w:pPr>
        <w:pStyle w:val="tekstgowny"/>
        <w:ind w:firstLine="0"/>
        <w:jc w:val="right"/>
      </w:pPr>
      <m:oMath>
        <m:sSub>
          <m:sSubPr>
            <m:ctrlPr>
              <w:rPr>
                <w:rFonts w:ascii="Cambria Math" w:hAnsi="Cambria Math"/>
                <w:i/>
                <w:lang w:val="en-US"/>
              </w:rPr>
            </m:ctrlPr>
          </m:sSubPr>
          <m:e>
            <m:r>
              <w:rPr>
                <w:rFonts w:ascii="Cambria Math" w:hAnsi="Cambria Math"/>
                <w:lang w:val="en-US"/>
              </w:rPr>
              <m:t>ψ</m:t>
            </m:r>
          </m:e>
          <m:sub>
            <m:r>
              <w:rPr>
                <w:rFonts w:ascii="Cambria Math" w:hAnsi="Cambria Math"/>
              </w:rPr>
              <m:t>2</m:t>
            </m:r>
          </m:sub>
        </m:sSub>
        <m:r>
          <w:rPr>
            <w:rFonts w:ascii="Cambria Math" w:hAnsi="Cambria Math"/>
          </w:rPr>
          <m:t>=</m:t>
        </m:r>
        <m:r>
          <w:rPr>
            <w:rFonts w:ascii="Cambria Math" w:hAnsi="Cambria Math"/>
            <w:lang w:val="en-US"/>
          </w:rPr>
          <m:t>pro</m:t>
        </m:r>
        <m:sSubSup>
          <m:sSubSupPr>
            <m:ctrlPr>
              <w:rPr>
                <w:rFonts w:ascii="Cambria Math" w:hAnsi="Cambria Math"/>
                <w:i/>
                <w:lang w:val="en-US"/>
              </w:rPr>
            </m:ctrlPr>
          </m:sSubSupPr>
          <m:e>
            <m:r>
              <w:rPr>
                <w:rFonts w:ascii="Cambria Math" w:hAnsi="Cambria Math"/>
                <w:lang w:val="en-US"/>
              </w:rPr>
              <m:t>b</m:t>
            </m:r>
          </m:e>
          <m:sub>
            <m:r>
              <w:rPr>
                <w:rFonts w:ascii="Cambria Math" w:hAnsi="Cambria Math"/>
                <w:lang w:val="en-US"/>
              </w:rPr>
              <m:t>S</m:t>
            </m:r>
            <m:r>
              <w:rPr>
                <w:rFonts w:ascii="Cambria Math" w:hAnsi="Cambria Math"/>
              </w:rPr>
              <m:t>1</m:t>
            </m:r>
          </m:sub>
          <m:sup>
            <m:r>
              <w:rPr>
                <w:rFonts w:ascii="Cambria Math" w:hAnsi="Cambria Math"/>
                <w:lang w:val="en-US"/>
              </w:rPr>
              <m:t>C</m:t>
            </m:r>
            <m:r>
              <w:rPr>
                <w:rFonts w:ascii="Cambria Math" w:hAnsi="Cambria Math"/>
              </w:rPr>
              <m:t>2</m:t>
            </m:r>
          </m:sup>
        </m:sSubSup>
        <m:r>
          <w:rPr>
            <w:rFonts w:ascii="Cambria Math" w:hAnsi="Cambria Math"/>
          </w:rPr>
          <m:t>+</m:t>
        </m:r>
        <m:r>
          <w:rPr>
            <w:rFonts w:ascii="Cambria Math" w:hAnsi="Cambria Math"/>
            <w:lang w:val="en-US"/>
          </w:rPr>
          <m:t>pro</m:t>
        </m:r>
        <m:sSubSup>
          <m:sSubSupPr>
            <m:ctrlPr>
              <w:rPr>
                <w:rFonts w:ascii="Cambria Math" w:hAnsi="Cambria Math"/>
                <w:i/>
                <w:lang w:val="en-US"/>
              </w:rPr>
            </m:ctrlPr>
          </m:sSubSupPr>
          <m:e>
            <m:r>
              <w:rPr>
                <w:rFonts w:ascii="Cambria Math" w:hAnsi="Cambria Math"/>
                <w:lang w:val="en-US"/>
              </w:rPr>
              <m:t>b</m:t>
            </m:r>
          </m:e>
          <m:sub>
            <m:r>
              <w:rPr>
                <w:rFonts w:ascii="Cambria Math" w:hAnsi="Cambria Math"/>
                <w:lang w:val="en-US"/>
              </w:rPr>
              <m:t>S</m:t>
            </m:r>
            <m:r>
              <w:rPr>
                <w:rFonts w:ascii="Cambria Math" w:hAnsi="Cambria Math"/>
              </w:rPr>
              <m:t>2</m:t>
            </m:r>
          </m:sub>
          <m:sup>
            <m:r>
              <w:rPr>
                <w:rFonts w:ascii="Cambria Math" w:hAnsi="Cambria Math"/>
                <w:lang w:val="en-US"/>
              </w:rPr>
              <m:t>C</m:t>
            </m:r>
            <m:r>
              <w:rPr>
                <w:rFonts w:ascii="Cambria Math" w:hAnsi="Cambria Math"/>
              </w:rPr>
              <m:t>2</m:t>
            </m:r>
          </m:sup>
        </m:sSubSup>
      </m:oMath>
      <w:r w:rsidRPr="007C1030">
        <w:t xml:space="preserve"> </w:t>
      </w:r>
      <w:r w:rsidRPr="007C1030">
        <w:tab/>
      </w:r>
      <w:r w:rsidRPr="007C1030">
        <w:tab/>
      </w:r>
      <w:r w:rsidRPr="007C1030">
        <w:rPr>
          <w:rFonts w:ascii="Cambria Math" w:hAnsi="Cambria Math"/>
        </w:rPr>
        <w:t>(19)</w:t>
      </w:r>
    </w:p>
    <w:p w14:paraId="522FA1A3" w14:textId="77777777" w:rsidR="00097C63" w:rsidRDefault="00FB6D14">
      <w:pPr>
        <w:pStyle w:val="tekstgowny"/>
        <w:sectPr w:rsidR="00097C63">
          <w:type w:val="continuous"/>
          <w:pgSz w:w="11906" w:h="16838"/>
          <w:pgMar w:top="1219" w:right="567" w:bottom="1219" w:left="567" w:header="765" w:footer="567" w:gutter="0"/>
          <w:cols w:num="2" w:space="566"/>
          <w:docGrid w:type="linesAndChars" w:linePitch="313" w:charSpace="139"/>
        </w:sectPr>
      </w:pPr>
      <w:r>
        <w:rPr>
          <w:rFonts w:hint="eastAsia"/>
        </w:rPr>
        <w:t xml:space="preserve">Extending the above conclusion to a more general scenario, the probability of implementing CM during the </w:t>
      </w:r>
      <w:r>
        <w:rPr>
          <w:rFonts w:hint="eastAsia"/>
          <w:i/>
          <w:iCs/>
        </w:rPr>
        <w:t>k</w:t>
      </w:r>
      <w:r>
        <w:rPr>
          <w:rFonts w:hint="eastAsia"/>
        </w:rPr>
        <w:t>-th (</w:t>
      </w:r>
      <w:r>
        <w:rPr>
          <w:rFonts w:hint="eastAsia"/>
          <w:i/>
          <w:iCs/>
        </w:rPr>
        <w:t>k</w:t>
      </w:r>
      <w:r>
        <w:t>≥</w:t>
      </w:r>
      <w:r>
        <w:rPr>
          <w:rFonts w:hint="eastAsia"/>
        </w:rPr>
        <w:t>3) inspection can be expressed as:</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5"/>
        <w:gridCol w:w="607"/>
      </w:tblGrid>
      <w:tr w:rsidR="00097C63" w14:paraId="23CDC38C" w14:textId="77777777">
        <w:tc>
          <w:tcPr>
            <w:tcW w:w="10165" w:type="dxa"/>
          </w:tcPr>
          <w:p w14:paraId="298D16FA" w14:textId="77777777" w:rsidR="00097C63" w:rsidRPr="007C1030" w:rsidRDefault="00FB6D14">
            <w:pPr>
              <w:pStyle w:val="tekstgowny"/>
              <w:tabs>
                <w:tab w:val="left" w:pos="1899"/>
              </w:tabs>
              <w:ind w:firstLine="0"/>
              <w:jc w:val="center"/>
            </w:pPr>
            <m:oMath>
              <m:sSub>
                <m:sSubPr>
                  <m:ctrlPr>
                    <w:rPr>
                      <w:rFonts w:ascii="Cambria Math" w:hAnsi="Cambria Math"/>
                      <w:i/>
                      <w:lang w:val="en-US"/>
                    </w:rPr>
                  </m:ctrlPr>
                </m:sSubPr>
                <m:e>
                  <m:r>
                    <w:rPr>
                      <w:rFonts w:ascii="Cambria Math" w:hAnsi="Cambria Math"/>
                      <w:lang w:val="en-US"/>
                    </w:rPr>
                    <m:t>ψ</m:t>
                  </m:r>
                </m:e>
                <m:sub>
                  <m:r>
                    <w:rPr>
                      <w:rFonts w:ascii="Cambria Math" w:hAnsi="Cambria Math"/>
                      <w:lang w:val="en-US"/>
                    </w:rPr>
                    <m:t>k</m:t>
                  </m:r>
                </m:sub>
              </m:sSub>
              <m:r>
                <w:rPr>
                  <w:rFonts w:ascii="Cambria Math" w:hAnsi="Cambria Math"/>
                </w:rPr>
                <m:t>=</m:t>
              </m:r>
              <m:r>
                <w:rPr>
                  <w:rFonts w:ascii="Cambria Math" w:hAnsi="Cambria Math"/>
                  <w:lang w:val="en-US"/>
                </w:rPr>
                <m:t>prob</m:t>
              </m:r>
              <m:d>
                <m:dPr>
                  <m:begChr m:val="{"/>
                  <m:endChr m:val="}"/>
                  <m:ctrlPr>
                    <w:rPr>
                      <w:rFonts w:ascii="Cambria Math" w:hAnsi="Cambria Math"/>
                      <w:i/>
                      <w:lang w:val="en-US"/>
                    </w:rPr>
                  </m:ctrlPr>
                </m:dPr>
                <m:e>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d>
                        <m:dPr>
                          <m:ctrlPr>
                            <w:rPr>
                              <w:rFonts w:ascii="Cambria Math" w:hAnsi="Cambria Math"/>
                              <w:i/>
                              <w:lang w:val="en-US"/>
                            </w:rPr>
                          </m:ctrlPr>
                        </m:dPr>
                        <m:e>
                          <m:r>
                            <w:rPr>
                              <w:rFonts w:ascii="Cambria Math" w:hAnsi="Cambria Math"/>
                              <w:lang w:val="en-US"/>
                            </w:rPr>
                            <m:t>k</m:t>
                          </m:r>
                          <m:r>
                            <w:rPr>
                              <w:rFonts w:ascii="Cambria Math" w:hAnsi="Cambria Math"/>
                            </w:rPr>
                            <m:t>-2</m:t>
                          </m:r>
                        </m:e>
                      </m:d>
                      <m:r>
                        <w:rPr>
                          <w:rFonts w:ascii="Cambria Math" w:hAnsi="Cambria Math"/>
                          <w:lang w:val="en-US"/>
                        </w:rPr>
                        <m:t>D</m:t>
                      </m:r>
                    </m:e>
                  </m:d>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m:t>
                  </m:r>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d>
                        <m:dPr>
                          <m:ctrlPr>
                            <w:rPr>
                              <w:rFonts w:ascii="Cambria Math" w:hAnsi="Cambria Math"/>
                              <w:i/>
                              <w:lang w:val="en-US"/>
                            </w:rPr>
                          </m:ctrlPr>
                        </m:dPr>
                        <m:e>
                          <m:r>
                            <w:rPr>
                              <w:rFonts w:ascii="Cambria Math" w:hAnsi="Cambria Math"/>
                              <w:lang w:val="en-US"/>
                            </w:rPr>
                            <m:t>k</m:t>
                          </m:r>
                          <m:r>
                            <w:rPr>
                              <w:rFonts w:ascii="Cambria Math" w:hAnsi="Cambria Math"/>
                            </w:rPr>
                            <m:t>-1</m:t>
                          </m:r>
                        </m:e>
                      </m:d>
                      <m:r>
                        <w:rPr>
                          <w:rFonts w:ascii="Cambria Math" w:hAnsi="Cambria Math"/>
                          <w:lang w:val="en-US"/>
                        </w:rPr>
                        <m:t>D</m:t>
                      </m:r>
                    </m:e>
                  </m:d>
                  <m:r>
                    <w:rPr>
                      <w:rFonts w:ascii="Cambria Math" w:hAnsi="Cambria Math"/>
                    </w:rPr>
                    <m:t>&gt;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e>
              </m:d>
              <m:r>
                <m:rPr>
                  <m:sty m:val="p"/>
                </m:rPr>
                <w:rPr>
                  <w:rFonts w:ascii="Cambria Math" w:hAnsi="Cambria Math"/>
                </w:rPr>
                <m:t xml:space="preserve"> </m:t>
              </m:r>
              <m:r>
                <w:rPr>
                  <w:rFonts w:ascii="Cambria Math" w:hAnsi="Cambria Math"/>
                </w:rPr>
                <m:t>+</m:t>
              </m:r>
              <m:r>
                <w:rPr>
                  <w:rFonts w:ascii="Cambria Math" w:hAnsi="Cambria Math"/>
                  <w:lang w:val="en-US"/>
                </w:rPr>
                <m:t>prob</m:t>
              </m:r>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-3)</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&lt;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-2)</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-1)</m:t>
              </m:r>
              <m:r>
                <w:rPr>
                  <w:rFonts w:ascii="Cambria Math" w:hAnsi="Cambria Math"/>
                  <w:lang w:val="en-US"/>
                </w:rPr>
                <m:t>D</m:t>
              </m:r>
              <m:r>
                <w:rPr>
                  <w:rFonts w:ascii="Cambria Math" w:hAnsi="Cambria Math"/>
                </w:rPr>
                <m:t>)&gt;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}⋅(1-</m:t>
              </m:r>
              <m:r>
                <w:rPr>
                  <w:rFonts w:ascii="Cambria Math" w:hAnsi="Cambria Math"/>
                  <w:lang w:val="en-US"/>
                </w:rPr>
                <m:t>p</m:t>
              </m:r>
              <m:r>
                <w:rPr>
                  <w:rFonts w:ascii="Cambria Math" w:hAnsi="Cambria Math"/>
                </w:rPr>
                <m:t>)</m:t>
              </m:r>
            </m:oMath>
            <w:r w:rsidRPr="007C1030">
              <w:rPr>
                <w:rFonts w:ascii="Cambria Math" w:hAnsi="Cambria Math" w:cstheme="minorBidi"/>
                <w:i/>
              </w:rPr>
              <w:t xml:space="preserve"> </w:t>
            </w:r>
            <m:oMath>
              <m:r>
                <w:rPr>
                  <w:rFonts w:ascii="Cambria Math" w:hAnsi="Cambria Math"/>
                </w:rPr>
                <m:t>+</m:t>
              </m:r>
              <m:nary>
                <m:naryPr>
                  <m:chr m:val="∑"/>
                  <m:ctrlPr>
                    <w:rPr>
                      <w:rFonts w:ascii="Cambria Math" w:hAnsi="Cambria Math"/>
                      <w:i/>
                      <w:lang w:val="en-US"/>
                    </w:rPr>
                  </m:ctrlPr>
                </m:naryPr>
                <m:sub>
                  <m:r>
                    <w:rPr>
                      <w:rFonts w:ascii="Cambria Math" w:hAnsi="Cambria Math"/>
                      <w:lang w:val="en-US"/>
                    </w:rPr>
                    <m:t>n</m:t>
                  </m:r>
                  <m:r>
                    <w:rPr>
                      <w:rFonts w:ascii="Cambria Math" w:hAnsi="Cambria Math"/>
                    </w:rPr>
                    <m:t>=2</m:t>
                  </m:r>
                </m:sub>
                <m:sup>
                  <m:r>
                    <w:rPr>
                      <w:rFonts w:ascii="Cambria Math" w:hAnsi="Cambria Math"/>
                      <w:lang w:val="en-US"/>
                    </w:rPr>
                    <m:t>k</m:t>
                  </m:r>
                  <m:r>
                    <w:rPr>
                      <w:rFonts w:ascii="Cambria Math" w:hAnsi="Cambria Math"/>
                    </w:rPr>
                    <m:t>-2</m:t>
                  </m:r>
                </m:sup>
                <m:e>
                  <m:r>
                    <w:rPr>
                      <w:rFonts w:ascii="Cambria Math" w:hAnsi="Cambria Math"/>
                      <w:lang w:val="en-US"/>
                    </w:rPr>
                    <m:t>prob</m:t>
                  </m:r>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n</m:t>
                  </m:r>
                  <m:r>
                    <w:rPr>
                      <w:rFonts w:ascii="Cambria Math" w:hAnsi="Cambria Math"/>
                    </w:rPr>
                    <m:t>-2)</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&lt;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n</m:t>
                  </m:r>
                  <m:r>
                    <w:rPr>
                      <w:rFonts w:ascii="Cambria Math" w:hAnsi="Cambria Math"/>
                    </w:rPr>
                    <m:t>-1)</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e>
              </m:nary>
              <m:r>
                <w:rPr>
                  <w:rFonts w:ascii="Cambria Math" w:hAnsi="Cambria Math"/>
                </w:rPr>
                <m: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&lt;</m:t>
              </m:r>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d>
                    <m:dPr>
                      <m:ctrlPr>
                        <w:rPr>
                          <w:rFonts w:ascii="Cambria Math" w:hAnsi="Cambria Math"/>
                          <w:i/>
                          <w:lang w:val="en-US"/>
                        </w:rPr>
                      </m:ctrlPr>
                    </m:dPr>
                    <m:e>
                      <m:r>
                        <w:rPr>
                          <w:rFonts w:ascii="Cambria Math" w:hAnsi="Cambria Math"/>
                          <w:lang w:val="en-US"/>
                        </w:rPr>
                        <m:t>k</m:t>
                      </m:r>
                      <m:r>
                        <w:rPr>
                          <w:rFonts w:ascii="Cambria Math" w:hAnsi="Cambria Math"/>
                        </w:rPr>
                        <m:t>-2</m:t>
                      </m:r>
                    </m:e>
                  </m:d>
                  <m:r>
                    <w:rPr>
                      <w:rFonts w:ascii="Cambria Math" w:hAnsi="Cambria Math"/>
                      <w:lang w:val="en-US"/>
                    </w:rPr>
                    <m:t>D</m:t>
                  </m:r>
                </m:e>
              </m:d>
              <m:r>
                <w:rPr>
                  <w:rFonts w:ascii="Cambria Math" w:hAnsi="Cambria Math"/>
                </w:rPr>
                <m:t xml:space="preserve"> &lt;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-1)</m:t>
              </m:r>
              <m:r>
                <w:rPr>
                  <w:rFonts w:ascii="Cambria Math" w:hAnsi="Cambria Math"/>
                  <w:lang w:val="en-US"/>
                </w:rPr>
                <m:t>D</m:t>
              </m:r>
              <m:r>
                <w:rPr>
                  <w:rFonts w:ascii="Cambria Math" w:hAnsi="Cambria Math"/>
                </w:rPr>
                <m:t>)&gt;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}⋅(1-</m:t>
              </m:r>
              <m:r>
                <w:rPr>
                  <w:rFonts w:ascii="Cambria Math" w:hAnsi="Cambria Math"/>
                  <w:lang w:val="en-US"/>
                </w:rPr>
                <m:t>p</m:t>
              </m:r>
              <m:sSup>
                <m:sSupPr>
                  <m:ctrlPr>
                    <w:rPr>
                      <w:rFonts w:ascii="Cambria Math" w:hAnsi="Cambria Math"/>
                      <w:i/>
                      <w:lang w:val="en-US"/>
                    </w:rPr>
                  </m:ctrlPr>
                </m:sSupPr>
                <m:e>
                  <m:r>
                    <w:rPr>
                      <w:rFonts w:ascii="Cambria Math" w:hAnsi="Cambria Math"/>
                    </w:rPr>
                    <m:t>)</m:t>
                  </m:r>
                </m:e>
                <m:sup>
                  <m:r>
                    <w:rPr>
                      <w:rFonts w:ascii="Cambria Math" w:hAnsi="Cambria Math"/>
                      <w:lang w:val="en-US"/>
                    </w:rPr>
                    <m:t>k</m:t>
                  </m:r>
                  <m:r>
                    <w:rPr>
                      <w:rFonts w:ascii="Cambria Math" w:hAnsi="Cambria Math"/>
                    </w:rPr>
                    <m:t>-</m:t>
                  </m:r>
                  <m:r>
                    <w:rPr>
                      <w:rFonts w:ascii="Cambria Math" w:hAnsi="Cambria Math"/>
                      <w:lang w:val="en-US"/>
                    </w:rPr>
                    <m:t>n</m:t>
                  </m:r>
                </m:sup>
              </m:sSup>
              <m:r>
                <m:rPr>
                  <m:sty m:val="p"/>
                </m:rPr>
                <w:rPr>
                  <w:rFonts w:ascii="Cambria Math" w:hAnsi="Cambria Math"/>
                </w:rPr>
                <m:t xml:space="preserve"> </m:t>
              </m:r>
              <m:r>
                <w:rPr>
                  <w:rFonts w:ascii="Cambria Math" w:hAnsi="Cambria Math"/>
                </w:rPr>
                <m:t>+</m:t>
              </m:r>
              <m:r>
                <w:rPr>
                  <w:rFonts w:ascii="Cambria Math" w:hAnsi="Cambria Math"/>
                  <w:lang w:val="en-US"/>
                </w:rPr>
                <m:t>prob</m:t>
              </m:r>
              <m:r>
                <w:rPr>
                  <w:rFonts w:ascii="Cambria Math" w:hAnsi="Cambria Math"/>
                </w:rPr>
                <m: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&lt;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sSub>
                <m:sSubPr>
                  <m:ctrlPr>
                    <w:rPr>
                      <w:rFonts w:ascii="Cambria Math" w:hAnsi="Cambria Math"/>
                      <w:i/>
                      <w:lang w:val="en-US"/>
                    </w:rPr>
                  </m:ctrlPr>
                </m:sSubPr>
                <m:e>
                  <m:r>
                    <w:rPr>
                      <w:rFonts w:ascii="Cambria Math" w:hAnsi="Cambria Math"/>
                    </w:rPr>
                    <m:t>h</m:t>
                  </m:r>
                </m:e>
                <m:sub>
                  <m:r>
                    <w:rPr>
                      <w:rFonts w:ascii="Cambria Math" w:hAnsi="Cambria Math"/>
                      <w:lang w:val="en-US"/>
                    </w:rPr>
                    <m:t>p</m:t>
                  </m:r>
                </m:sub>
              </m:sSub>
              <m:r>
                <w:rPr>
                  <w:rFonts w:ascii="Cambria Math" w:hAnsi="Cambria Math"/>
                </w:rPr>
                <m:t>&lt;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-2)</m:t>
              </m:r>
              <m:r>
                <w:rPr>
                  <w:rFonts w:ascii="Cambria Math" w:hAnsi="Cambria Math"/>
                  <w:lang w:val="en-US"/>
                </w:rPr>
                <m:t>D</m:t>
              </m:r>
              <m:r>
                <w:rPr>
                  <w:rFonts w:ascii="Cambria Math" w:hAnsi="Cambria Math"/>
                </w:rPr>
                <m:t>)&lt;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m:t>
              </m:r>
              <m:r>
                <w:rPr>
                  <w:rFonts w:ascii="Cambria Math" w:hAnsi="Cambria Math"/>
                  <w:lang w:val="en-US"/>
                </w:rPr>
                <m:t>L</m:t>
              </m:r>
              <m:r>
                <w:rPr>
                  <w:rFonts w:ascii="Cambria Math" w:hAnsi="Cambria Math"/>
                </w:rPr>
                <m:t>(</m:t>
              </m:r>
              <m:sSub>
                <m:sSubPr>
                  <m:ctrlPr>
                    <w:rPr>
                      <w:rFonts w:ascii="Cambria Math" w:hAnsi="Cambria Math"/>
                      <w:i/>
                      <w:lang w:val="en-US"/>
                    </w:rPr>
                  </m:ctrlPr>
                </m:sSubPr>
                <m:e>
                  <m:r>
                    <w:rPr>
                      <w:rFonts w:ascii="Cambria Math" w:hAnsi="Cambria Math"/>
                      <w:lang w:val="en-US"/>
                    </w:rPr>
                    <m:t>D</m:t>
                  </m:r>
                </m:e>
                <m:sub>
                  <m:r>
                    <w:rPr>
                      <w:rFonts w:ascii="Cambria Math" w:hAnsi="Cambria Math"/>
                    </w:rPr>
                    <m:t>1</m:t>
                  </m:r>
                </m:sub>
              </m:sSub>
              <m:r>
                <w:rPr>
                  <w:rFonts w:ascii="Cambria Math" w:hAnsi="Cambria Math"/>
                </w:rPr>
                <m:t>+(</m:t>
              </m:r>
              <m:r>
                <w:rPr>
                  <w:rFonts w:ascii="Cambria Math" w:hAnsi="Cambria Math"/>
                  <w:lang w:val="en-US"/>
                </w:rPr>
                <m:t>k</m:t>
              </m:r>
              <m:r>
                <w:rPr>
                  <w:rFonts w:ascii="Cambria Math" w:hAnsi="Cambria Math"/>
                </w:rPr>
                <m:t>-1)</m:t>
              </m:r>
              <m:r>
                <w:rPr>
                  <w:rFonts w:ascii="Cambria Math" w:hAnsi="Cambria Math"/>
                  <w:lang w:val="en-US"/>
                </w:rPr>
                <m:t>D</m:t>
              </m:r>
              <m:r>
                <w:rPr>
                  <w:rFonts w:ascii="Cambria Math" w:hAnsi="Cambria Math"/>
                </w:rPr>
                <m:t>)&gt;</m:t>
              </m:r>
              <m:sSub>
                <m:sSubPr>
                  <m:ctrlPr>
                    <w:rPr>
                      <w:rFonts w:ascii="Cambria Math" w:hAnsi="Cambria Math"/>
                      <w:i/>
                      <w:lang w:val="en-US"/>
                    </w:rPr>
                  </m:ctrlPr>
                </m:sSubPr>
                <m:e>
                  <m:r>
                    <w:rPr>
                      <w:rFonts w:ascii="Cambria Math" w:hAnsi="Cambria Math"/>
                    </w:rPr>
                    <m:t>h</m:t>
                  </m:r>
                </m:e>
                <m:sub>
                  <m:r>
                    <w:rPr>
                      <w:rFonts w:ascii="Cambria Math" w:hAnsi="Cambria Math"/>
                      <w:lang w:val="en-US"/>
                    </w:rPr>
                    <m:t>f</m:t>
                  </m:r>
                </m:sub>
              </m:sSub>
              <m:r>
                <w:rPr>
                  <w:rFonts w:ascii="Cambria Math" w:hAnsi="Cambria Math"/>
                </w:rPr>
                <m:t>}⋅(1-</m:t>
              </m:r>
              <m:r>
                <w:rPr>
                  <w:rFonts w:ascii="Cambria Math" w:hAnsi="Cambria Math"/>
                  <w:lang w:val="en-US"/>
                </w:rPr>
                <m:t>p</m:t>
              </m:r>
              <m:sSup>
                <m:sSupPr>
                  <m:ctrlPr>
                    <w:rPr>
                      <w:rFonts w:ascii="Cambria Math" w:hAnsi="Cambria Math"/>
                      <w:i/>
                      <w:lang w:val="en-US"/>
                    </w:rPr>
                  </m:ctrlPr>
                </m:sSupPr>
                <m:e>
                  <m:r>
                    <w:rPr>
                      <w:rFonts w:ascii="Cambria Math" w:hAnsi="Cambria Math"/>
                    </w:rPr>
                    <m:t>)</m:t>
                  </m:r>
                </m:e>
                <m:sup>
                  <m:r>
                    <w:rPr>
                      <w:rFonts w:ascii="Cambria Math" w:hAnsi="Cambria Math"/>
                      <w:lang w:val="en-US"/>
                    </w:rPr>
                    <m:t>k</m:t>
                  </m:r>
                  <m:r>
                    <w:rPr>
                      <w:rFonts w:ascii="Cambria Math" w:hAnsi="Cambria Math"/>
                    </w:rPr>
                    <m:t>-1</m:t>
                  </m:r>
                </m:sup>
              </m:sSup>
            </m:oMath>
          </w:p>
        </w:tc>
        <w:tc>
          <w:tcPr>
            <w:tcW w:w="607" w:type="dxa"/>
            <w:vAlign w:val="center"/>
          </w:tcPr>
          <w:p w14:paraId="24B73735" w14:textId="77777777" w:rsidR="00097C63" w:rsidRDefault="00FB6D14">
            <w:pPr>
              <w:pStyle w:val="tekstgowny"/>
              <w:ind w:right="-113" w:firstLine="0"/>
              <w:jc w:val="right"/>
              <w:rPr>
                <w:rFonts w:ascii="Cambria Math" w:hAnsi="Cambria Math"/>
                <w:lang w:val="en-US"/>
              </w:rPr>
            </w:pPr>
            <w:r>
              <w:rPr>
                <w:rFonts w:ascii="Cambria Math" w:hAnsi="Cambria Math"/>
                <w:lang w:val="en-US"/>
              </w:rPr>
              <w:t>(20)</w:t>
            </w:r>
          </w:p>
        </w:tc>
      </w:tr>
    </w:tbl>
    <w:p w14:paraId="4A23FC8C" w14:textId="77777777" w:rsidR="00097C63" w:rsidRDefault="00FB6D14">
      <w:pPr>
        <w:pStyle w:val="tekstgowny"/>
        <w:ind w:firstLine="0"/>
      </w:pPr>
      <w:r>
        <w:rPr>
          <w:rFonts w:hint="eastAsia"/>
        </w:rPr>
        <w:t>Among them: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5"/>
        <w:gridCol w:w="607"/>
      </w:tblGrid>
      <w:tr w:rsidR="00097C63" w14:paraId="2E76DE0E" w14:textId="77777777">
        <w:tc>
          <w:tcPr>
            <w:tcW w:w="10165" w:type="dxa"/>
          </w:tcPr>
          <w:p w14:paraId="623B4F9B" w14:textId="77777777" w:rsidR="00097C63" w:rsidRDefault="00FB6D14">
            <w:pPr>
              <w:pStyle w:val="tekstgowny"/>
              <w:tabs>
                <w:tab w:val="left" w:pos="1899"/>
              </w:tabs>
              <w:ind w:firstLine="0"/>
              <w:jc w:val="center"/>
              <w:rPr>
                <w:lang w:val="en-US"/>
              </w:rPr>
            </w:pPr>
            <m:oMathPara>
              <m:oMath>
                <m:r>
                  <w:rPr>
                    <w:rFonts w:ascii="Cambria Math" w:hAnsi="Cambria Math"/>
                    <w:lang w:val="en-US"/>
                  </w:rPr>
                  <m:t>prob</m:t>
                </m:r>
                <m:d>
                  <m:dPr>
                    <m:begChr m:val="{"/>
                    <m:endChr m:val="}"/>
                    <m:ctrlPr>
                      <w:rPr>
                        <w:rFonts w:ascii="Cambria Math" w:hAnsi="Cambria Math"/>
                        <w:i/>
                        <w:lang w:val="en-US"/>
                      </w:rPr>
                    </m:ctrlPr>
                  </m:dPr>
                  <m:e>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k-2</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b</m:t>
                        </m:r>
                      </m:e>
                      <m:sub>
                        <m:r>
                          <w:rPr>
                            <w:rFonts w:ascii="Cambria Math" w:hAnsi="Cambria Math"/>
                            <w:lang w:val="en-US"/>
                          </w:rPr>
                          <m:t>p</m:t>
                        </m:r>
                      </m:sub>
                    </m:sSub>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k-1</m:t>
                            </m:r>
                          </m:e>
                        </m:d>
                        <m:r>
                          <w:rPr>
                            <w:rFonts w:ascii="Cambria Math" w:hAnsi="Cambria Math"/>
                            <w:lang w:val="en-US"/>
                          </w:rPr>
                          <m:t>D</m:t>
                        </m:r>
                      </m:e>
                    </m:d>
                    <m:r>
                      <w:rPr>
                        <w:rFonts w:ascii="Cambria Math" w:hAnsi="Cambria Math"/>
                        <w:lang w:val="en-US"/>
                      </w:rPr>
                      <m:t>&gt;</m:t>
                    </m:r>
                    <m:sSub>
                      <m:sSubPr>
                        <m:ctrlPr>
                          <w:rPr>
                            <w:rFonts w:ascii="Cambria Math" w:hAnsi="Cambria Math"/>
                            <w:i/>
                            <w:lang w:val="en-US"/>
                          </w:rPr>
                        </m:ctrlPr>
                      </m:sSubPr>
                      <m:e>
                        <m:r>
                          <w:rPr>
                            <w:rFonts w:ascii="Cambria Math" w:hAnsi="Cambria Math"/>
                            <w:lang w:val="en-US"/>
                          </w:rPr>
                          <m:t>b</m:t>
                        </m:r>
                      </m:e>
                      <m:sub>
                        <m:r>
                          <w:rPr>
                            <w:rFonts w:ascii="Cambria Math" w:hAnsi="Cambria Math"/>
                            <w:lang w:val="en-US"/>
                          </w:rPr>
                          <m:t>f</m:t>
                        </m:r>
                      </m:sub>
                    </m:sSub>
                  </m:e>
                </m:d>
                <m:r>
                  <w:rPr>
                    <w:rFonts w:ascii="Cambria Math" w:hAnsi="Cambria Math"/>
                    <w:lang w:val="en-US"/>
                  </w:rPr>
                  <m:t xml:space="preserve"> =</m:t>
                </m:r>
                <m:nary>
                  <m:naryPr>
                    <m:ctrlPr>
                      <w:rPr>
                        <w:rFonts w:ascii="Cambria Math" w:hAnsi="Cambria Math"/>
                        <w:i/>
                        <w:lang w:val="en-US"/>
                      </w:rPr>
                    </m:ctrlPr>
                  </m:naryPr>
                  <m:sub>
                    <m:r>
                      <w:rPr>
                        <w:rFonts w:ascii="Cambria Math" w:hAnsi="Cambria Math"/>
                        <w:lang w:val="en-US"/>
                      </w:rPr>
                      <m:t>0</m:t>
                    </m:r>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sup>
                  <m:e>
                    <m:r>
                      <w:rPr>
                        <w:rFonts w:ascii="Cambria Math" w:hAnsi="Cambria Math"/>
                        <w:lang w:val="en-US"/>
                      </w:rPr>
                      <m:t>f(t,u(</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+(k-2)D),λ)[1-F(</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-t,uD,λ)]dt</m:t>
                    </m:r>
                  </m:e>
                </m:nary>
              </m:oMath>
            </m:oMathPara>
          </w:p>
        </w:tc>
        <w:tc>
          <w:tcPr>
            <w:tcW w:w="607" w:type="dxa"/>
            <w:vAlign w:val="center"/>
          </w:tcPr>
          <w:p w14:paraId="1869D0AB" w14:textId="77777777" w:rsidR="00097C63" w:rsidRDefault="00FB6D14">
            <w:pPr>
              <w:pStyle w:val="tekstgowny"/>
              <w:ind w:right="-113" w:firstLine="0"/>
              <w:jc w:val="right"/>
              <w:rPr>
                <w:rFonts w:ascii="Cambria Math" w:hAnsi="Cambria Math"/>
                <w:lang w:val="en-US"/>
              </w:rPr>
            </w:pPr>
            <w:r>
              <w:rPr>
                <w:rFonts w:ascii="Cambria Math" w:hAnsi="Cambria Math"/>
                <w:lang w:val="en-US"/>
              </w:rPr>
              <w:t>(21)</w:t>
            </w:r>
          </w:p>
        </w:tc>
      </w:tr>
    </w:tbl>
    <w:p w14:paraId="0858CFE5" w14:textId="77777777" w:rsidR="00097C63" w:rsidRDefault="00097C63">
      <w:pPr>
        <w:tabs>
          <w:tab w:val="center" w:pos="5386"/>
        </w:tabs>
        <w:sectPr w:rsidR="00097C63">
          <w:type w:val="continuous"/>
          <w:pgSz w:w="11906" w:h="16838"/>
          <w:pgMar w:top="1219" w:right="567" w:bottom="1219" w:left="567" w:header="765" w:footer="567" w:gutter="0"/>
          <w:cols w:space="566"/>
          <w:docGrid w:type="linesAndChars" w:linePitch="313" w:charSpace="139"/>
        </w:sectPr>
      </w:pPr>
    </w:p>
    <w:p w14:paraId="3D6F8827" w14:textId="77777777" w:rsidR="00097C63" w:rsidRDefault="00FB6D14">
      <w:pPr>
        <w:pStyle w:val="NormalnyWeb"/>
        <w:widowControl/>
        <w:spacing w:beforeAutospacing="0" w:afterAutospacing="0"/>
        <w:ind w:firstLineChars="141" w:firstLine="283"/>
        <w:rPr>
          <w:rFonts w:eastAsia="SimSun"/>
          <w:sz w:val="20"/>
          <w:szCs w:val="20"/>
          <w:lang w:val="sr-Latn-BA" w:eastAsia="zh-CN"/>
        </w:rPr>
      </w:pPr>
      <w:r>
        <w:rPr>
          <w:rFonts w:eastAsia="SimSun" w:hint="eastAsia"/>
          <w:sz w:val="20"/>
          <w:szCs w:val="20"/>
          <w:lang w:val="sr-Latn-BA" w:eastAsia="zh-CN"/>
        </w:rPr>
        <w:lastRenderedPageBreak/>
        <w:t>Formula (21) represents the probability that the system is in a healthy state for all (k-1) inspections, but enters a faulty state during the k-th inspection, indicating the need for CM.</w:t>
      </w:r>
    </w:p>
    <w:p w14:paraId="09068F06" w14:textId="77777777" w:rsidR="00097C63" w:rsidRDefault="00097C63">
      <w:pPr>
        <w:pStyle w:val="Nagwek2"/>
        <w:sectPr w:rsidR="00097C63">
          <w:type w:val="continuous"/>
          <w:pgSz w:w="11906" w:h="16838"/>
          <w:pgMar w:top="1219" w:right="567" w:bottom="1219" w:left="567" w:header="765" w:footer="567" w:gutter="0"/>
          <w:cols w:num="2" w:space="566"/>
          <w:docGrid w:type="linesAndChars" w:linePitch="313" w:charSpace="139"/>
        </w:sect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5"/>
        <w:gridCol w:w="607"/>
      </w:tblGrid>
      <w:tr w:rsidR="00097C63" w14:paraId="7658EF6B" w14:textId="77777777">
        <w:tc>
          <w:tcPr>
            <w:tcW w:w="10165" w:type="dxa"/>
          </w:tcPr>
          <w:p w14:paraId="3B3F7279" w14:textId="77777777" w:rsidR="00097C63" w:rsidRDefault="00FB6D14">
            <w:pPr>
              <w:pStyle w:val="tekstgowny"/>
              <w:tabs>
                <w:tab w:val="left" w:pos="1899"/>
              </w:tabs>
              <w:ind w:firstLine="0"/>
              <w:jc w:val="center"/>
              <w:rPr>
                <w:rFonts w:ascii="Cambria Math" w:hAnsi="Cambria Math"/>
                <w:lang w:val="en-US"/>
              </w:rPr>
            </w:pPr>
            <m:oMathPara>
              <m:oMathParaPr>
                <m:jc m:val="center"/>
              </m:oMathParaPr>
              <m:oMath>
                <m:r>
                  <w:rPr>
                    <w:rFonts w:ascii="Cambria Math" w:hAnsi="Cambria Math"/>
                    <w:lang w:val="en-US"/>
                  </w:rPr>
                  <m:t>prob</m:t>
                </m:r>
                <m:d>
                  <m:dPr>
                    <m:begChr m:val="{"/>
                    <m:endChr m:val="}"/>
                    <m:ctrlPr>
                      <w:rPr>
                        <w:rFonts w:ascii="Cambria Math" w:hAnsi="Cambria Math"/>
                        <w:i/>
                        <w:lang w:val="en-US"/>
                      </w:rPr>
                    </m:ctrlPr>
                  </m:dPr>
                  <m:e>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k-3</m:t>
                            </m:r>
                          </m:e>
                        </m:d>
                        <m:r>
                          <w:rPr>
                            <w:rFonts w:ascii="Cambria Math" w:hAnsi="Cambria Math"/>
                            <w:lang w:val="en-US"/>
                          </w:rPr>
                          <m:t>D</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k-2</m:t>
                            </m:r>
                          </m:e>
                        </m:d>
                        <m:r>
                          <w:rPr>
                            <w:rFonts w:ascii="Cambria Math" w:hAnsi="Cambria Math"/>
                            <w:lang w:val="en-US"/>
                          </w:rPr>
                          <m:t>T</m:t>
                        </m:r>
                      </m:e>
                    </m:d>
                    <m:r>
                      <w:rPr>
                        <w:rFonts w:ascii="Cambria Math" w:hAnsi="Cambria Math"/>
                        <w:lang w:val="en-US"/>
                      </w:rPr>
                      <m:t>&lt;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k-1</m:t>
                            </m:r>
                          </m:e>
                        </m:d>
                        <m:r>
                          <w:rPr>
                            <w:rFonts w:ascii="Cambria Math" w:hAnsi="Cambria Math"/>
                            <w:lang w:val="en-US"/>
                          </w:rPr>
                          <m:t>D</m:t>
                        </m:r>
                      </m:e>
                    </m:d>
                    <m:r>
                      <w:rPr>
                        <w:rFonts w:ascii="Cambria Math" w:hAnsi="Cambria Math"/>
                        <w:lang w:val="en-US"/>
                      </w:rPr>
                      <m:t>&gt;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e>
                </m:d>
                <m:r>
                  <w:rPr>
                    <w:rFonts w:ascii="Cambria Math" w:hAnsi="Cambria Math"/>
                    <w:lang w:val="en-US"/>
                  </w:rPr>
                  <m:t xml:space="preserve"> </m:t>
                </m:r>
                <m:r>
                  <w:rPr>
                    <w:rFonts w:ascii="Cambria Math" w:hAnsi="Cambria Math"/>
                    <w:color w:val="000000" w:themeColor="text1"/>
                  </w:rPr>
                  <m:t>=</m:t>
                </m:r>
                <m:nary>
                  <m:naryPr>
                    <m:ctrlPr>
                      <w:rPr>
                        <w:rFonts w:ascii="Cambria Math" w:hAnsi="Cambria Math"/>
                        <w:i/>
                        <w:color w:val="000000" w:themeColor="text1"/>
                      </w:rPr>
                    </m:ctrlPr>
                  </m:naryPr>
                  <m:sub>
                    <m:r>
                      <w:rPr>
                        <w:rFonts w:ascii="Cambria Math" w:hAnsi="Cambria Math"/>
                        <w:color w:val="000000" w:themeColor="text1"/>
                      </w:rPr>
                      <m:t>0</m:t>
                    </m:r>
                  </m:sub>
                  <m:sup>
                    <m:sSub>
                      <m:sSubPr>
                        <m:ctrlPr>
                          <w:rPr>
                            <w:rFonts w:ascii="Cambria Math" w:hAnsi="Cambria Math"/>
                            <w:i/>
                            <w:color w:val="000000" w:themeColor="text1"/>
                          </w:rPr>
                        </m:ctrlPr>
                      </m:sSubPr>
                      <m:e>
                        <m:r>
                          <w:rPr>
                            <w:rFonts w:ascii="Cambria Math" w:hAnsi="Cambria Math"/>
                            <w:color w:val="000000" w:themeColor="text1"/>
                          </w:rPr>
                          <m:t>h</m:t>
                        </m:r>
                      </m:e>
                      <m:sub>
                        <m:r>
                          <w:rPr>
                            <w:rFonts w:ascii="Cambria Math" w:hAnsi="Cambria Math"/>
                            <w:color w:val="000000" w:themeColor="text1"/>
                          </w:rPr>
                          <m:t>p</m:t>
                        </m:r>
                      </m:sub>
                    </m:sSub>
                  </m:sup>
                  <m:e>
                    <m:r>
                      <w:rPr>
                        <w:rFonts w:ascii="Cambria Math" w:hAnsi="Cambria Math"/>
                        <w:color w:val="000000" w:themeColor="text1"/>
                      </w:rPr>
                      <m:t>f(t,u(</m:t>
                    </m:r>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1</m:t>
                        </m:r>
                      </m:sub>
                    </m:sSub>
                    <m:r>
                      <w:rPr>
                        <w:rFonts w:ascii="Cambria Math" w:hAnsi="Cambria Math"/>
                        <w:color w:val="000000" w:themeColor="text1"/>
                      </w:rPr>
                      <m:t>+(k-3)D),λ)</m:t>
                    </m:r>
                    <m:nary>
                      <m:naryPr>
                        <m:ctrlPr>
                          <w:rPr>
                            <w:rFonts w:ascii="Cambria Math" w:hAnsi="Cambria Math"/>
                            <w:i/>
                            <w:color w:val="000000" w:themeColor="text1"/>
                          </w:rPr>
                        </m:ctrlPr>
                      </m:naryPr>
                      <m:sub>
                        <m:sSub>
                          <m:sSubPr>
                            <m:ctrlPr>
                              <w:rPr>
                                <w:rFonts w:ascii="Cambria Math" w:hAnsi="Cambria Math"/>
                                <w:i/>
                                <w:color w:val="000000" w:themeColor="text1"/>
                              </w:rPr>
                            </m:ctrlPr>
                          </m:sSubPr>
                          <m:e>
                            <m:r>
                              <w:rPr>
                                <w:rFonts w:ascii="Cambria Math" w:hAnsi="Cambria Math"/>
                                <w:color w:val="000000" w:themeColor="text1"/>
                              </w:rPr>
                              <m:t>h</m:t>
                            </m:r>
                          </m:e>
                          <m:sub>
                            <m:r>
                              <w:rPr>
                                <w:rFonts w:ascii="Cambria Math" w:hAnsi="Cambria Math"/>
                                <w:color w:val="000000" w:themeColor="text1"/>
                              </w:rPr>
                              <m:t>p</m:t>
                            </m:r>
                          </m:sub>
                        </m:sSub>
                        <m:r>
                          <w:rPr>
                            <w:rFonts w:ascii="Cambria Math" w:hAnsi="Cambria Math"/>
                            <w:color w:val="000000" w:themeColor="text1"/>
                          </w:rPr>
                          <m:t>-t</m:t>
                        </m:r>
                      </m:sub>
                      <m:sup>
                        <m:sSub>
                          <m:sSubPr>
                            <m:ctrlPr>
                              <w:rPr>
                                <w:rFonts w:ascii="Cambria Math" w:hAnsi="Cambria Math"/>
                                <w:i/>
                                <w:color w:val="000000" w:themeColor="text1"/>
                              </w:rPr>
                            </m:ctrlPr>
                          </m:sSubPr>
                          <m:e>
                            <m:r>
                              <w:rPr>
                                <w:rFonts w:ascii="Cambria Math" w:hAnsi="Cambria Math"/>
                                <w:color w:val="000000" w:themeColor="text1"/>
                              </w:rPr>
                              <m:t>h</m:t>
                            </m:r>
                          </m:e>
                          <m:sub>
                            <m:r>
                              <w:rPr>
                                <w:rFonts w:ascii="Cambria Math" w:hAnsi="Cambria Math"/>
                                <w:color w:val="000000" w:themeColor="text1"/>
                              </w:rPr>
                              <m:t>f</m:t>
                            </m:r>
                          </m:sub>
                        </m:sSub>
                        <m:r>
                          <w:rPr>
                            <w:rFonts w:ascii="Cambria Math" w:hAnsi="Cambria Math"/>
                            <w:color w:val="000000" w:themeColor="text1"/>
                          </w:rPr>
                          <m:t>-t</m:t>
                        </m:r>
                      </m:sup>
                      <m:e>
                        <m:r>
                          <w:rPr>
                            <w:rFonts w:ascii="Cambria Math" w:hAnsi="Cambria Math"/>
                            <w:color w:val="000000" w:themeColor="text1"/>
                          </w:rPr>
                          <m:t>f(v,uD,λ)</m:t>
                        </m:r>
                      </m:e>
                    </m:nary>
                  </m:e>
                </m:nary>
                <m:r>
                  <w:rPr>
                    <w:rFonts w:ascii="Cambria Math" w:hAnsi="Cambria Math"/>
                    <w:color w:val="000000" w:themeColor="text1"/>
                  </w:rPr>
                  <m:t>[1-F(</m:t>
                </m:r>
                <m:sSub>
                  <m:sSubPr>
                    <m:ctrlPr>
                      <w:rPr>
                        <w:rFonts w:ascii="Cambria Math" w:hAnsi="Cambria Math"/>
                        <w:i/>
                        <w:color w:val="000000" w:themeColor="text1"/>
                      </w:rPr>
                    </m:ctrlPr>
                  </m:sSubPr>
                  <m:e>
                    <m:r>
                      <w:rPr>
                        <w:rFonts w:ascii="Cambria Math" w:hAnsi="Cambria Math"/>
                        <w:color w:val="000000" w:themeColor="text1"/>
                      </w:rPr>
                      <m:t>h</m:t>
                    </m:r>
                  </m:e>
                  <m:sub>
                    <m:r>
                      <w:rPr>
                        <w:rFonts w:ascii="Cambria Math" w:hAnsi="Cambria Math"/>
                        <w:color w:val="000000" w:themeColor="text1"/>
                      </w:rPr>
                      <m:t>f</m:t>
                    </m:r>
                  </m:sub>
                </m:sSub>
                <m:r>
                  <w:rPr>
                    <w:rFonts w:ascii="Cambria Math" w:hAnsi="Cambria Math"/>
                    <w:color w:val="000000" w:themeColor="text1"/>
                  </w:rPr>
                  <m:t>-t-v,uD,λ)]dvdt</m:t>
                </m:r>
              </m:oMath>
            </m:oMathPara>
          </w:p>
        </w:tc>
        <w:tc>
          <w:tcPr>
            <w:tcW w:w="607" w:type="dxa"/>
            <w:vAlign w:val="center"/>
          </w:tcPr>
          <w:p w14:paraId="0C17565D" w14:textId="77777777" w:rsidR="00097C63" w:rsidRDefault="00FB6D14">
            <w:pPr>
              <w:pStyle w:val="tekstgowny"/>
              <w:ind w:right="-113" w:firstLine="0"/>
              <w:jc w:val="right"/>
              <w:rPr>
                <w:rFonts w:ascii="Cambria Math" w:hAnsi="Cambria Math"/>
                <w:lang w:val="en-US"/>
              </w:rPr>
            </w:pPr>
            <w:r>
              <w:rPr>
                <w:rFonts w:ascii="Cambria Math" w:hAnsi="Cambria Math"/>
                <w:lang w:val="en-US"/>
              </w:rPr>
              <w:t>(22)</w:t>
            </w:r>
          </w:p>
        </w:tc>
      </w:tr>
    </w:tbl>
    <w:p w14:paraId="5BA98A68" w14:textId="77777777" w:rsidR="00097C63" w:rsidRDefault="00097C63">
      <w:pPr>
        <w:sectPr w:rsidR="00097C63">
          <w:type w:val="continuous"/>
          <w:pgSz w:w="11906" w:h="16838"/>
          <w:pgMar w:top="1219" w:right="567" w:bottom="1219" w:left="567" w:header="765" w:footer="567" w:gutter="0"/>
          <w:cols w:space="566"/>
          <w:docGrid w:type="linesAndChars" w:linePitch="313" w:charSpace="139"/>
        </w:sectPr>
      </w:pPr>
    </w:p>
    <w:p w14:paraId="3DFF2A57" w14:textId="77777777" w:rsidR="00097C63" w:rsidRDefault="00FB6D14">
      <w:pPr>
        <w:ind w:firstLine="284"/>
        <w:rPr>
          <w:rFonts w:ascii="Times New Roman" w:hAnsi="Times New Roman"/>
          <w:sz w:val="20"/>
          <w:szCs w:val="20"/>
          <w:lang w:val="sr-Latn-BA"/>
        </w:rPr>
      </w:pPr>
      <w:r>
        <w:rPr>
          <w:rFonts w:ascii="Times New Roman" w:hAnsi="Times New Roman"/>
          <w:sz w:val="20"/>
          <w:szCs w:val="20"/>
          <w:lang w:val="sr-Latn-BA"/>
        </w:rPr>
        <w:t xml:space="preserve">Formula </w:t>
      </w:r>
      <w:r>
        <w:rPr>
          <w:rFonts w:ascii="Times New Roman" w:hAnsi="Times New Roman" w:hint="eastAsia"/>
          <w:sz w:val="20"/>
          <w:szCs w:val="20"/>
          <w:lang w:val="sr-Latn-BA"/>
        </w:rPr>
        <w:t>(22)</w:t>
      </w:r>
      <w:r>
        <w:rPr>
          <w:rFonts w:ascii="Times New Roman" w:hAnsi="Times New Roman"/>
          <w:sz w:val="20"/>
          <w:szCs w:val="20"/>
          <w:lang w:val="sr-Latn-BA"/>
        </w:rPr>
        <w:t xml:space="preserve"> represents the probability that </w:t>
      </w:r>
      <w:r>
        <w:rPr>
          <w:rFonts w:ascii="Times New Roman" w:hAnsi="Times New Roman" w:hint="eastAsia"/>
          <w:sz w:val="20"/>
          <w:szCs w:val="20"/>
          <w:lang w:val="sr-Latn-BA"/>
        </w:rPr>
        <w:t>PM</w:t>
      </w:r>
      <w:r>
        <w:rPr>
          <w:rFonts w:ascii="Times New Roman" w:hAnsi="Times New Roman"/>
          <w:sz w:val="20"/>
          <w:szCs w:val="20"/>
          <w:lang w:val="sr-Latn-BA"/>
        </w:rPr>
        <w:t xml:space="preserve"> was required for the first time during the </w:t>
      </w:r>
      <w:r>
        <w:rPr>
          <w:rFonts w:ascii="Times New Roman" w:hAnsi="Times New Roman" w:hint="eastAsia"/>
          <w:sz w:val="20"/>
          <w:szCs w:val="20"/>
          <w:lang w:val="sr-Latn-BA"/>
        </w:rPr>
        <w:t>(</w:t>
      </w:r>
      <w:r>
        <w:rPr>
          <w:rFonts w:ascii="Times New Roman" w:hAnsi="Times New Roman"/>
          <w:sz w:val="20"/>
          <w:szCs w:val="20"/>
          <w:lang w:val="sr-Latn-BA"/>
        </w:rPr>
        <w:t>k-1</w:t>
      </w:r>
      <w:r>
        <w:rPr>
          <w:rFonts w:ascii="Times New Roman" w:hAnsi="Times New Roman" w:hint="eastAsia"/>
          <w:sz w:val="20"/>
          <w:szCs w:val="20"/>
          <w:lang w:val="sr-Latn-BA"/>
        </w:rPr>
        <w:t>)-</w:t>
      </w:r>
      <w:r>
        <w:rPr>
          <w:rFonts w:ascii="Times New Roman" w:hAnsi="Times New Roman"/>
          <w:sz w:val="20"/>
          <w:szCs w:val="20"/>
          <w:lang w:val="sr-Latn-BA"/>
        </w:rPr>
        <w:t>t</w:t>
      </w:r>
      <w:r>
        <w:rPr>
          <w:rFonts w:ascii="Times New Roman" w:hAnsi="Times New Roman" w:hint="eastAsia"/>
          <w:sz w:val="20"/>
          <w:szCs w:val="20"/>
          <w:lang w:val="sr-Latn-BA"/>
        </w:rPr>
        <w:t>h</w:t>
      </w:r>
      <w:r>
        <w:rPr>
          <w:rFonts w:ascii="Times New Roman" w:hAnsi="Times New Roman"/>
          <w:sz w:val="20"/>
          <w:szCs w:val="20"/>
          <w:lang w:val="sr-Latn-BA"/>
        </w:rPr>
        <w:t xml:space="preserve"> </w:t>
      </w:r>
      <w:r>
        <w:rPr>
          <w:rFonts w:ascii="Times New Roman" w:hAnsi="Times New Roman" w:hint="eastAsia"/>
          <w:sz w:val="20"/>
          <w:szCs w:val="20"/>
          <w:lang w:val="sr-Latn-BA"/>
        </w:rPr>
        <w:t>inspection</w:t>
      </w:r>
      <w:r>
        <w:rPr>
          <w:rFonts w:ascii="Times New Roman" w:hAnsi="Times New Roman"/>
          <w:sz w:val="20"/>
          <w:szCs w:val="20"/>
          <w:lang w:val="sr-Latn-BA"/>
        </w:rPr>
        <w:t xml:space="preserve">, but was not successfully implemented, resulting in the cumulative </w:t>
      </w:r>
      <w:r>
        <w:rPr>
          <w:rFonts w:ascii="Times New Roman" w:hAnsi="Times New Roman"/>
          <w:sz w:val="20"/>
          <w:szCs w:val="20"/>
          <w:lang w:val="sr-Latn-BA"/>
        </w:rPr>
        <w:t xml:space="preserve">degradation of the system exceeding the fault threshold during the k-th </w:t>
      </w:r>
      <w:r>
        <w:rPr>
          <w:rFonts w:ascii="Times New Roman" w:hAnsi="Times New Roman" w:hint="eastAsia"/>
          <w:sz w:val="20"/>
          <w:szCs w:val="20"/>
          <w:lang w:val="sr-Latn-BA"/>
        </w:rPr>
        <w:t>inspection</w:t>
      </w:r>
      <w:r>
        <w:rPr>
          <w:rFonts w:ascii="Times New Roman" w:hAnsi="Times New Roman"/>
          <w:sz w:val="20"/>
          <w:szCs w:val="20"/>
          <w:lang w:val="sr-Latn-BA"/>
        </w:rPr>
        <w:t xml:space="preserve"> and requiring </w:t>
      </w:r>
      <w:r>
        <w:rPr>
          <w:rFonts w:ascii="Times New Roman" w:hAnsi="Times New Roman" w:hint="eastAsia"/>
          <w:sz w:val="20"/>
          <w:szCs w:val="20"/>
          <w:lang w:val="sr-Latn-BA"/>
        </w:rPr>
        <w:t>CM.</w:t>
      </w:r>
    </w:p>
    <w:p w14:paraId="14B4BC50" w14:textId="77777777" w:rsidR="00097C63" w:rsidRDefault="00097C63">
      <w:pPr>
        <w:sectPr w:rsidR="00097C63">
          <w:type w:val="continuous"/>
          <w:pgSz w:w="11906" w:h="16838"/>
          <w:pgMar w:top="1219" w:right="567" w:bottom="1219" w:left="567" w:header="765" w:footer="567" w:gutter="0"/>
          <w:cols w:num="2" w:space="566"/>
          <w:docGrid w:type="linesAndChars" w:linePitch="313" w:charSpace="139"/>
        </w:sect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5"/>
        <w:gridCol w:w="607"/>
      </w:tblGrid>
      <w:tr w:rsidR="00097C63" w14:paraId="1CC74D17" w14:textId="77777777">
        <w:tc>
          <w:tcPr>
            <w:tcW w:w="10165" w:type="dxa"/>
          </w:tcPr>
          <w:p w14:paraId="5B4CC44A" w14:textId="77777777" w:rsidR="00097C63" w:rsidRDefault="00FB6D14">
            <w:pPr>
              <w:pStyle w:val="tekstgowny"/>
              <w:tabs>
                <w:tab w:val="left" w:pos="1899"/>
              </w:tabs>
              <w:ind w:firstLine="0"/>
              <w:jc w:val="center"/>
              <w:rPr>
                <w:rFonts w:ascii="Cambria Math" w:hAnsi="Cambria Math"/>
                <w:lang w:val="en-US"/>
              </w:rPr>
            </w:pPr>
            <m:oMath>
              <m:r>
                <w:rPr>
                  <w:rFonts w:ascii="Cambria Math" w:hAnsi="Cambria Math"/>
                  <w:lang w:val="en-US"/>
                </w:rPr>
                <m:t>prob{L(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+(n-2)D)&lt;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+(n-1)D)&lt;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&lt;L</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k-2</m:t>
                      </m:r>
                    </m:e>
                  </m:d>
                  <m:r>
                    <w:rPr>
                      <w:rFonts w:ascii="Cambria Math" w:hAnsi="Cambria Math"/>
                      <w:lang w:val="en-US"/>
                    </w:rPr>
                    <m:t>D</m:t>
                  </m:r>
                </m:e>
              </m:d>
              <m:r>
                <w:rPr>
                  <w:rFonts w:ascii="Cambria Math" w:hAnsi="Cambria Math"/>
                  <w:lang w:val="en-US"/>
                </w:rPr>
                <m:t xml:space="preserve"> ​​​​​​​​​​&lt;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∩L(</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+(k-1)D)&gt;</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m:t>
              </m:r>
              <m:nary>
                <m:naryPr>
                  <m:ctrlPr>
                    <w:rPr>
                      <w:rFonts w:ascii="Cambria Math" w:hAnsi="Cambria Math"/>
                      <w:i/>
                      <w:lang w:val="en-US"/>
                    </w:rPr>
                  </m:ctrlPr>
                </m:naryPr>
                <m:sub>
                  <m:r>
                    <w:rPr>
                      <w:rFonts w:ascii="Cambria Math" w:hAnsi="Cambria Math"/>
                      <w:lang w:val="en-US"/>
                    </w:rPr>
                    <m:t>0</m:t>
                  </m:r>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sup>
                <m:e>
                  <m:r>
                    <w:rPr>
                      <w:rFonts w:ascii="Cambria Math" w:hAnsi="Cambria Math"/>
                      <w:lang w:val="en-US"/>
                    </w:rPr>
                    <m:t>f(t,u(</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1</m:t>
                      </m:r>
                    </m:sub>
                  </m:sSub>
                  <m:r>
                    <w:rPr>
                      <w:rFonts w:ascii="Cambria Math" w:hAnsi="Cambria Math"/>
                      <w:lang w:val="en-US"/>
                    </w:rPr>
                    <m:t>+(n-2)),λ)</m:t>
                  </m:r>
                </m:e>
              </m:nary>
              <m:nary>
                <m:naryPr>
                  <m:ctrlPr>
                    <w:rPr>
                      <w:rFonts w:ascii="Cambria Math" w:hAnsi="Cambria Math"/>
                      <w:i/>
                      <w:lang w:val="en-US"/>
                    </w:rPr>
                  </m:ctrlPr>
                </m:naryPr>
                <m:sub>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p</m:t>
                      </m:r>
                    </m:sub>
                  </m:sSub>
                  <m:r>
                    <w:rPr>
                      <w:rFonts w:ascii="Cambria Math" w:hAnsi="Cambria Math"/>
                      <w:lang w:val="en-US"/>
                    </w:rPr>
                    <m:t>-t</m:t>
                  </m:r>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m:t>
                  </m:r>
                </m:sup>
                <m:e>
                  <m:r>
                    <w:rPr>
                      <w:rFonts w:ascii="Cambria Math" w:hAnsi="Cambria Math"/>
                      <w:lang w:val="en-US"/>
                    </w:rPr>
                    <m:t>f(v,uD,λ)</m:t>
                  </m:r>
                </m:e>
              </m:nary>
              <m:r>
                <w:rPr>
                  <w:rFonts w:ascii="Cambria Math" w:hAnsi="Cambria Math"/>
                  <w:lang w:val="en-US"/>
                </w:rPr>
                <m:t>×</m:t>
              </m:r>
            </m:oMath>
            <w:r>
              <w:rPr>
                <w:rFonts w:ascii="Calibri" w:hAnsi="Calibri"/>
                <w:lang w:val="en-US"/>
              </w:rPr>
              <w:t xml:space="preserve">  </w:t>
            </w:r>
            <m:oMath>
              <m:nary>
                <m:naryPr>
                  <m:ctrlPr>
                    <w:rPr>
                      <w:rFonts w:ascii="Cambria Math" w:hAnsi="Cambria Math"/>
                      <w:i/>
                      <w:lang w:val="en-US"/>
                    </w:rPr>
                  </m:ctrlPr>
                </m:naryPr>
                <m:sub>
                  <m:r>
                    <w:rPr>
                      <w:rFonts w:ascii="Cambria Math" w:hAnsi="Cambria Math"/>
                      <w:lang w:val="en-US"/>
                    </w:rPr>
                    <m:t>0</m:t>
                  </m:r>
                </m:sub>
                <m:sup>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-t-v</m:t>
                  </m:r>
                </m:sup>
                <m:e>
                  <m:r>
                    <w:rPr>
                      <w:rFonts w:ascii="Cambria Math" w:hAnsi="Cambria Math"/>
                      <w:lang w:val="en-US"/>
                    </w:rPr>
                    <m:t>f(w,u((k</m:t>
                  </m:r>
                </m:e>
              </m:nary>
              <m:r>
                <w:rPr>
                  <w:rFonts w:ascii="Cambria Math" w:hAnsi="Cambria Math"/>
                  <w:lang w:val="en-US"/>
                </w:rPr>
                <m:t>-n-1)D),λ)[1-F(</m:t>
              </m:r>
              <m:sSub>
                <m:sSubPr>
                  <m:ctrlPr>
                    <w:rPr>
                      <w:rFonts w:ascii="Cambria Math" w:hAnsi="Cambria Math"/>
                      <w:i/>
                      <w:lang w:val="en-US"/>
                    </w:rPr>
                  </m:ctrlPr>
                </m:sSubPr>
                <m:e>
                  <m:r>
                    <w:rPr>
                      <w:rFonts w:ascii="Cambria Math" w:hAnsi="Cambria Math"/>
                      <w:lang w:val="en-US"/>
                    </w:rPr>
                    <m:t>h</m:t>
                  </m:r>
                </m:e>
                <m:sub>
                  <m:r>
                    <w:rPr>
                      <w:rFonts w:ascii="Cambria Math" w:hAnsi="Cambria Math"/>
                      <w:lang w:val="en-US"/>
                    </w:rPr>
                    <m:t>f</m:t>
                  </m:r>
                </m:sub>
              </m:sSub>
              <m:r>
                <w:rPr>
                  <w:rFonts w:ascii="Cambria Math" w:hAnsi="Cambria Math"/>
                  <w:lang w:val="en-US"/>
                </w:rPr>
                <m:t>-t-v-w,uD,λ)]dwdvdt</m:t>
              </m:r>
            </m:oMath>
          </w:p>
        </w:tc>
        <w:tc>
          <w:tcPr>
            <w:tcW w:w="607" w:type="dxa"/>
            <w:vAlign w:val="center"/>
          </w:tcPr>
          <w:p w14:paraId="2B134192" w14:textId="77777777" w:rsidR="00097C63" w:rsidRDefault="00FB6D14">
            <w:pPr>
              <w:pStyle w:val="tekstgowny"/>
              <w:ind w:right="-113" w:firstLine="0"/>
              <w:jc w:val="right"/>
              <w:rPr>
                <w:rFonts w:ascii="Cambria Math" w:hAnsi="Cambria Math"/>
                <w:lang w:val="en-US"/>
              </w:rPr>
            </w:pPr>
            <w:r>
              <w:rPr>
                <w:rFonts w:ascii="Cambria Math" w:hAnsi="Cambria Math"/>
                <w:lang w:val="en-US"/>
              </w:rPr>
              <w:t>(23)</w:t>
            </w:r>
          </w:p>
        </w:tc>
      </w:tr>
    </w:tbl>
    <w:p w14:paraId="6463B28E" w14:textId="77777777" w:rsidR="00097C63" w:rsidRDefault="00097C63"/>
    <w:p w14:paraId="74A8FA4A" w14:textId="77777777" w:rsidR="00097C63" w:rsidRDefault="00097C63">
      <w:pPr>
        <w:sectPr w:rsidR="00097C63">
          <w:type w:val="continuous"/>
          <w:pgSz w:w="11906" w:h="16838"/>
          <w:pgMar w:top="1219" w:right="567" w:bottom="1219" w:left="567" w:header="765" w:footer="567" w:gutter="0"/>
          <w:cols w:space="566"/>
          <w:docGrid w:type="linesAndChars" w:linePitch="313" w:charSpace="139"/>
        </w:sectPr>
      </w:pPr>
    </w:p>
    <w:p w14:paraId="76C282DA" w14:textId="77777777" w:rsidR="00097C63" w:rsidRDefault="00FB6D14">
      <w:pPr>
        <w:ind w:firstLine="284"/>
        <w:rPr>
          <w:rFonts w:ascii="Times New Roman" w:hAnsi="Times New Roman"/>
          <w:sz w:val="20"/>
          <w:szCs w:val="20"/>
          <w:lang w:val="sr-Latn-BA"/>
        </w:rPr>
      </w:pPr>
      <w:r>
        <w:rPr>
          <w:rFonts w:ascii="Times New Roman" w:hAnsi="Times New Roman" w:hint="eastAsia"/>
          <w:sz w:val="20"/>
          <w:szCs w:val="20"/>
          <w:lang w:val="sr-Latn-BA"/>
        </w:rPr>
        <w:t>Formula (23) represents the probability that PM was attempted but unsuccessful in all (k-1) inspections, and the cumulative degradation exceeded the fault threshold in the k-th test, requiring CM.</w:t>
      </w:r>
    </w:p>
    <w:p w14:paraId="7A406D99" w14:textId="77777777" w:rsidR="00097C63" w:rsidRDefault="00FB6D14">
      <w:pPr>
        <w:pStyle w:val="Nagwek2"/>
      </w:pPr>
      <w:r>
        <w:t xml:space="preserve">4.4. </w:t>
      </w:r>
      <w:r>
        <w:rPr>
          <w:rFonts w:hint="eastAsia"/>
        </w:rPr>
        <w:t>Expected warranty cost and availability model for equipment</w:t>
      </w:r>
    </w:p>
    <w:p w14:paraId="37A4F410" w14:textId="77777777" w:rsidR="00097C63" w:rsidRDefault="00FB6D14">
      <w:pPr>
        <w:rPr>
          <w:rFonts w:ascii="Times New Roman" w:hAnsi="Times New Roman"/>
          <w:sz w:val="20"/>
          <w:szCs w:val="20"/>
          <w:lang w:val="sr-Latn-BA"/>
        </w:rPr>
      </w:pPr>
      <w:r>
        <w:rPr>
          <w:rFonts w:ascii="Times New Roman" w:hAnsi="Times New Roman" w:hint="eastAsia"/>
          <w:sz w:val="20"/>
          <w:szCs w:val="20"/>
          <w:lang w:val="sr-Latn-BA"/>
        </w:rPr>
        <w:t>The availability of the equipment is:</w:t>
      </w:r>
    </w:p>
    <w:p w14:paraId="20032F5D" w14:textId="77777777" w:rsidR="00097C63" w:rsidRDefault="00FB6D14">
      <w:pPr>
        <w:jc w:val="right"/>
      </w:pPr>
      <m:oMath>
        <m:r>
          <w:rPr>
            <w:rFonts w:ascii="Cambria Math" w:hAnsi="Cambria Math"/>
          </w:rPr>
          <m:t>A=</m:t>
        </m:r>
        <m:f>
          <m:fPr>
            <m:ctrlPr>
              <w:rPr>
                <w:rFonts w:ascii="Cambria Math" w:hAnsi="Cambria Math"/>
                <w:i/>
              </w:rPr>
            </m:ctrlPr>
          </m:fPr>
          <m:num>
            <m:sSub>
              <m:sSubPr>
                <m:ctrlPr>
                  <w:rPr>
                    <w:rFonts w:ascii="Cambria Math" w:hAnsi="Cambria Math"/>
                    <w:i/>
                  </w:rPr>
                </m:ctrlPr>
              </m:sSubPr>
              <m:e>
                <m:r>
                  <w:rPr>
                    <w:rFonts w:ascii="Cambria Math" w:hAnsi="Cambria Math"/>
                  </w:rPr>
                  <m:t>T</m:t>
                </m:r>
              </m:e>
              <m:sub>
                <m:r>
                  <m:rPr>
                    <m:nor/>
                  </m:rPr>
                  <m:t>work</m:t>
                </m:r>
                <m:ctrlPr>
                  <w:rPr>
                    <w:rFonts w:ascii="Cambria Math" w:hAnsi="Cambria Math"/>
                  </w:rPr>
                </m:ctrlPr>
              </m:sub>
            </m:sSub>
          </m:num>
          <m:den>
            <m:r>
              <w:rPr>
                <w:rFonts w:ascii="Cambria Math" w:hAnsi="Cambria Math"/>
              </w:rPr>
              <m:t>(</m:t>
            </m:r>
            <m:sSub>
              <m:sSubPr>
                <m:ctrlPr>
                  <w:rPr>
                    <w:rFonts w:ascii="Cambria Math" w:hAnsi="Cambria Math"/>
                    <w:i/>
                  </w:rPr>
                </m:ctrlPr>
              </m:sSubPr>
              <m:e>
                <m:r>
                  <w:rPr>
                    <w:rFonts w:ascii="Cambria Math" w:hAnsi="Cambria Math"/>
                  </w:rPr>
                  <m:t>T</m:t>
                </m:r>
              </m:e>
              <m:sub>
                <m:r>
                  <m:rPr>
                    <m:nor/>
                  </m:rPr>
                  <m:t>work</m:t>
                </m:r>
                <m:ctrlPr>
                  <w:rPr>
                    <w:rFonts w:ascii="Cambria Math" w:hAnsi="Cambria Math"/>
                  </w:rPr>
                </m:ctrlPr>
              </m:sub>
            </m:sSub>
            <m:r>
              <w:rPr>
                <w:rFonts w:ascii="Cambria Math" w:hAnsi="Cambria Math"/>
              </w:rPr>
              <m:t>+</m:t>
            </m:r>
            <m:sSub>
              <m:sSubPr>
                <m:ctrlPr>
                  <w:rPr>
                    <w:rFonts w:ascii="Cambria Math" w:hAnsi="Cambria Math"/>
                    <w:i/>
                  </w:rPr>
                </m:ctrlPr>
              </m:sSubPr>
              <m:e>
                <m:r>
                  <w:rPr>
                    <w:rFonts w:ascii="Cambria Math" w:hAnsi="Cambria Math"/>
                  </w:rPr>
                  <m:t>T</m:t>
                </m:r>
              </m:e>
              <m:sub>
                <m:r>
                  <m:rPr>
                    <m:nor/>
                  </m:rPr>
                  <m:t>halt</m:t>
                </m:r>
                <m:ctrlPr>
                  <w:rPr>
                    <w:rFonts w:ascii="Cambria Math" w:hAnsi="Cambria Math"/>
                  </w:rPr>
                </m:ctrlPr>
              </m:sub>
            </m:sSub>
            <m:r>
              <w:rPr>
                <w:rFonts w:ascii="Cambria Math" w:hAnsi="Cambria Math"/>
              </w:rPr>
              <m:t>)</m:t>
            </m:r>
          </m:den>
        </m:f>
      </m:oMath>
      <w:r>
        <w:t xml:space="preserve"> </w:t>
      </w:r>
      <w:r>
        <w:tab/>
      </w:r>
      <w:r>
        <w:tab/>
      </w:r>
      <w:r>
        <w:tab/>
      </w:r>
      <w:r>
        <w:rPr>
          <w:rFonts w:ascii="Cambria Math" w:hAnsi="Cambria Math"/>
          <w:sz w:val="20"/>
          <w:szCs w:val="22"/>
        </w:rPr>
        <w:t>(24)</w:t>
      </w:r>
    </w:p>
    <w:p w14:paraId="22A93AE0" w14:textId="77777777" w:rsidR="00097C63" w:rsidRDefault="00FB6D14">
      <w:pPr>
        <w:ind w:firstLine="284"/>
        <w:rPr>
          <w:rFonts w:ascii="Times New Roman" w:hAnsi="Times New Roman"/>
          <w:sz w:val="20"/>
          <w:szCs w:val="22"/>
        </w:rPr>
      </w:pPr>
      <w:r>
        <w:rPr>
          <w:rFonts w:ascii="Times New Roman" w:hAnsi="Times New Roman"/>
          <w:sz w:val="20"/>
          <w:szCs w:val="22"/>
        </w:rPr>
        <w:t>The expected working time of the equipment is:</w:t>
      </w:r>
    </w:p>
    <w:p w14:paraId="61A7D714" w14:textId="77777777" w:rsidR="00097C63" w:rsidRDefault="00FB6D14">
      <w:pPr>
        <w:jc w:val="right"/>
        <w:rPr>
          <w:sz w:val="18"/>
          <w:szCs w:val="20"/>
        </w:rPr>
      </w:pPr>
      <m:oMath>
        <m:r>
          <w:rPr>
            <w:rFonts w:ascii="Cambria Math" w:hAnsi="Cambria Math"/>
            <w:sz w:val="16"/>
            <w:szCs w:val="16"/>
          </w:rPr>
          <m:t>E(</m:t>
        </m:r>
        <m:sSub>
          <m:sSubPr>
            <m:ctrlPr>
              <w:rPr>
                <w:rFonts w:ascii="Cambria Math" w:hAnsi="Cambria Math"/>
                <w:i/>
                <w:sz w:val="16"/>
                <w:szCs w:val="16"/>
              </w:rPr>
            </m:ctrlPr>
          </m:sSubPr>
          <m:e>
            <m:r>
              <w:rPr>
                <w:rFonts w:ascii="Cambria Math" w:hAnsi="Cambria Math"/>
                <w:sz w:val="16"/>
                <w:szCs w:val="16"/>
              </w:rPr>
              <m:t>T</m:t>
            </m:r>
          </m:e>
          <m:sub>
            <m:r>
              <m:rPr>
                <m:nor/>
              </m:rPr>
              <w:rPr>
                <w:rFonts w:ascii="Cambria Math" w:hAnsi="Cambria Math"/>
                <w:sz w:val="16"/>
                <w:szCs w:val="16"/>
              </w:rPr>
              <m:t>work</m:t>
            </m:r>
            <m:ctrlPr>
              <w:rPr>
                <w:rFonts w:ascii="Cambria Math" w:hAnsi="Cambria Math"/>
                <w:sz w:val="16"/>
                <w:szCs w:val="16"/>
              </w:rPr>
            </m:ctrlPr>
          </m:sub>
        </m:sSub>
        <m:r>
          <w:rPr>
            <w:rFonts w:ascii="Cambria Math" w:hAnsi="Cambria Math"/>
            <w:sz w:val="16"/>
            <w:szCs w:val="16"/>
          </w:rPr>
          <m:t>)=</m:t>
        </m:r>
        <m:nary>
          <m:naryPr>
            <m:chr m:val="∑"/>
            <m:ctrlPr>
              <w:rPr>
                <w:rFonts w:ascii="Cambria Math" w:hAnsi="Cambria Math"/>
                <w:i/>
                <w:sz w:val="16"/>
                <w:szCs w:val="16"/>
              </w:rPr>
            </m:ctrlPr>
          </m:naryPr>
          <m:sub>
            <m:r>
              <w:rPr>
                <w:rFonts w:ascii="Cambria Math" w:hAnsi="Cambria Math"/>
                <w:sz w:val="16"/>
                <w:szCs w:val="16"/>
              </w:rPr>
              <m:t>k=1</m:t>
            </m:r>
          </m:sub>
          <m:sup>
            <m:r>
              <w:rPr>
                <w:rFonts w:ascii="Cambria Math" w:hAnsi="Cambria Math"/>
                <w:sz w:val="16"/>
                <w:szCs w:val="16"/>
              </w:rPr>
              <m:t>λ</m:t>
            </m:r>
          </m:sup>
          <m:e>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D</m:t>
                </m:r>
              </m:e>
              <m:sub>
                <m:r>
                  <w:rPr>
                    <w:rFonts w:ascii="Cambria Math" w:hAnsi="Cambria Math"/>
                    <w:sz w:val="16"/>
                    <w:szCs w:val="16"/>
                  </w:rPr>
                  <m:t>1</m:t>
                </m:r>
              </m:sub>
            </m:sSub>
            <m:r>
              <w:rPr>
                <w:rFonts w:ascii="Cambria Math" w:hAnsi="Cambria Math"/>
                <w:sz w:val="16"/>
                <w:szCs w:val="16"/>
              </w:rPr>
              <m:t>+(k-1)D)×</m:t>
            </m:r>
            <m:sSub>
              <m:sSubPr>
                <m:ctrlPr>
                  <w:rPr>
                    <w:rFonts w:ascii="Cambria Math" w:hAnsi="Cambria Math"/>
                    <w:i/>
                    <w:sz w:val="16"/>
                    <w:szCs w:val="16"/>
                  </w:rPr>
                </m:ctrlPr>
              </m:sSubPr>
              <m:e>
                <m:r>
                  <w:rPr>
                    <w:rFonts w:ascii="Cambria Math" w:hAnsi="Cambria Math"/>
                    <w:sz w:val="16"/>
                    <w:szCs w:val="16"/>
                  </w:rPr>
                  <m:t>θ</m:t>
                </m:r>
              </m:e>
              <m:sub>
                <m:r>
                  <w:rPr>
                    <w:rFonts w:ascii="Cambria Math" w:hAnsi="Cambria Math"/>
                    <w:sz w:val="16"/>
                    <w:szCs w:val="16"/>
                  </w:rPr>
                  <m:t>k</m:t>
                </m:r>
              </m:sub>
            </m:sSub>
          </m:e>
        </m:nary>
        <m:r>
          <w:rPr>
            <w:rFonts w:ascii="Cambria Math" w:hAnsi="Cambria Math"/>
            <w:sz w:val="16"/>
            <w:szCs w:val="16"/>
          </w:rPr>
          <m:t>+</m:t>
        </m:r>
        <m:nary>
          <m:naryPr>
            <m:chr m:val="∑"/>
            <m:ctrlPr>
              <w:rPr>
                <w:rFonts w:ascii="Cambria Math" w:hAnsi="Cambria Math"/>
                <w:i/>
                <w:sz w:val="16"/>
                <w:szCs w:val="16"/>
              </w:rPr>
            </m:ctrlPr>
          </m:naryPr>
          <m:sub>
            <m:r>
              <w:rPr>
                <w:rFonts w:ascii="Cambria Math" w:hAnsi="Cambria Math"/>
                <w:sz w:val="16"/>
                <w:szCs w:val="16"/>
              </w:rPr>
              <m:t>k=1</m:t>
            </m:r>
          </m:sub>
          <m:sup>
            <m:r>
              <w:rPr>
                <w:rFonts w:ascii="Cambria Math" w:hAnsi="Cambria Math"/>
                <w:sz w:val="16"/>
                <w:szCs w:val="16"/>
              </w:rPr>
              <m:t>λ</m:t>
            </m:r>
          </m:sup>
          <m:e>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D</m:t>
                </m:r>
              </m:e>
              <m:sub>
                <m:r>
                  <w:rPr>
                    <w:rFonts w:ascii="Cambria Math" w:hAnsi="Cambria Math"/>
                    <w:sz w:val="16"/>
                    <w:szCs w:val="16"/>
                  </w:rPr>
                  <m:t>1</m:t>
                </m:r>
              </m:sub>
            </m:sSub>
            <m:r>
              <w:rPr>
                <w:rFonts w:ascii="Cambria Math" w:hAnsi="Cambria Math"/>
                <w:sz w:val="16"/>
                <w:szCs w:val="16"/>
              </w:rPr>
              <m:t>+(k-1)D)×</m:t>
            </m:r>
            <m:sSub>
              <m:sSubPr>
                <m:ctrlPr>
                  <w:rPr>
                    <w:rFonts w:ascii="Cambria Math" w:hAnsi="Cambria Math"/>
                    <w:i/>
                    <w:sz w:val="16"/>
                    <w:szCs w:val="16"/>
                  </w:rPr>
                </m:ctrlPr>
              </m:sSubPr>
              <m:e>
                <m:r>
                  <w:rPr>
                    <w:rFonts w:ascii="Cambria Math" w:hAnsi="Cambria Math"/>
                    <w:sz w:val="16"/>
                    <w:szCs w:val="16"/>
                  </w:rPr>
                  <m:t>ψ</m:t>
                </m:r>
              </m:e>
              <m:sub>
                <m:r>
                  <w:rPr>
                    <w:rFonts w:ascii="Cambria Math" w:hAnsi="Cambria Math"/>
                    <w:sz w:val="16"/>
                    <w:szCs w:val="16"/>
                  </w:rPr>
                  <m:t>k</m:t>
                </m:r>
              </m:sub>
            </m:sSub>
          </m:e>
        </m:nary>
      </m:oMath>
      <w:r>
        <w:rPr>
          <w:sz w:val="18"/>
          <w:szCs w:val="20"/>
        </w:rPr>
        <w:t xml:space="preserve"> </w:t>
      </w:r>
      <w:r>
        <w:rPr>
          <w:rFonts w:ascii="Cambria Math" w:hAnsi="Cambria Math"/>
          <w:sz w:val="20"/>
          <w:szCs w:val="22"/>
        </w:rPr>
        <w:t>(25)</w:t>
      </w:r>
    </w:p>
    <w:p w14:paraId="1CC2F3B5" w14:textId="77777777" w:rsidR="00097C63" w:rsidRDefault="00FB6D14">
      <w:pPr>
        <w:ind w:firstLine="284"/>
        <w:rPr>
          <w:rFonts w:ascii="Times New Roman" w:hAnsi="Times New Roman"/>
          <w:sz w:val="20"/>
          <w:szCs w:val="20"/>
          <w:lang w:val="sr-Latn-BA"/>
        </w:rPr>
      </w:pPr>
      <w:r>
        <w:rPr>
          <w:rFonts w:ascii="Times New Roman" w:hAnsi="Times New Roman" w:hint="eastAsia"/>
          <w:sz w:val="20"/>
          <w:szCs w:val="20"/>
          <w:lang w:val="sr-Latn-BA"/>
        </w:rPr>
        <w:t xml:space="preserve">In the formula (25), the number of inspections is represented by </w:t>
      </w:r>
      <m:oMath>
        <m:r>
          <w:rPr>
            <w:rFonts w:ascii="Cambria Math" w:hAnsi="Cambria Math"/>
            <w:sz w:val="20"/>
            <w:szCs w:val="20"/>
            <w:lang w:val="sr-Latn-BA"/>
          </w:rPr>
          <m:t>λ</m:t>
        </m:r>
      </m:oMath>
      <w:r>
        <w:rPr>
          <w:rFonts w:ascii="Times New Roman" w:hAnsi="Times New Roman" w:hint="eastAsia"/>
          <w:sz w:val="20"/>
          <w:szCs w:val="20"/>
          <w:lang w:val="sr-Latn-BA"/>
        </w:rPr>
        <w:t xml:space="preserve">, and the expression for </w:t>
      </w:r>
      <m:oMath>
        <m:r>
          <w:rPr>
            <w:rFonts w:ascii="Cambria Math" w:hAnsi="Cambria Math"/>
            <w:sz w:val="20"/>
            <w:szCs w:val="20"/>
            <w:lang w:val="sr-Latn-BA"/>
          </w:rPr>
          <m:t>λ</m:t>
        </m:r>
      </m:oMath>
      <w:r>
        <w:rPr>
          <w:rFonts w:ascii="Times New Roman" w:hAnsi="Times New Roman" w:hint="eastAsia"/>
          <w:sz w:val="20"/>
          <w:szCs w:val="20"/>
          <w:lang w:val="sr-Latn-BA"/>
        </w:rPr>
        <w:t xml:space="preserve"> is:</w:t>
      </w:r>
    </w:p>
    <w:p w14:paraId="4EA486C4" w14:textId="77777777" w:rsidR="00097C63" w:rsidRDefault="00FB6D14">
      <w:pPr>
        <w:jc w:val="right"/>
        <w:rPr>
          <w:rFonts w:ascii="Times New Roman" w:hAnsi="Times New Roman"/>
          <w:sz w:val="20"/>
          <w:szCs w:val="20"/>
          <w:lang w:val="sr-Latn-BA"/>
        </w:rPr>
      </w:pPr>
      <m:oMath>
        <m:r>
          <w:rPr>
            <w:rFonts w:ascii="Cambria Math" w:hAnsi="Cambria Math"/>
            <w:sz w:val="20"/>
            <w:szCs w:val="20"/>
          </w:rPr>
          <m:t>λ</m:t>
        </m:r>
        <m:r>
          <w:rPr>
            <w:rFonts w:ascii="Cambria Math" w:hAnsi="Cambria Math"/>
            <w:sz w:val="20"/>
            <w:szCs w:val="20"/>
            <w:lang w:val="sr-Latn-BA"/>
          </w:rPr>
          <m:t>=1+</m:t>
        </m:r>
        <m:d>
          <m:dPr>
            <m:begChr m:val="⌊"/>
            <m:endChr m:val="⌋"/>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W</m:t>
                </m:r>
                <m:r>
                  <w:rPr>
                    <w:rFonts w:ascii="Cambria Math" w:hAnsi="Cambria Math"/>
                    <w:sz w:val="20"/>
                    <w:szCs w:val="20"/>
                    <w:lang w:val="sr-Latn-BA"/>
                  </w:rPr>
                  <m:t>-</m:t>
                </m:r>
                <m:sSub>
                  <m:sSubPr>
                    <m:ctrlPr>
                      <w:rPr>
                        <w:rFonts w:ascii="Cambria Math" w:hAnsi="Cambria Math"/>
                        <w:i/>
                        <w:sz w:val="20"/>
                        <w:szCs w:val="20"/>
                      </w:rPr>
                    </m:ctrlPr>
                  </m:sSubPr>
                  <m:e>
                    <m:r>
                      <w:rPr>
                        <w:rFonts w:ascii="Cambria Math" w:hAnsi="Cambria Math"/>
                        <w:sz w:val="20"/>
                        <w:szCs w:val="20"/>
                      </w:rPr>
                      <m:t>D</m:t>
                    </m:r>
                  </m:e>
                  <m:sub>
                    <m:r>
                      <w:rPr>
                        <w:rFonts w:ascii="Cambria Math" w:hAnsi="Cambria Math"/>
                        <w:sz w:val="20"/>
                        <w:szCs w:val="20"/>
                        <w:lang w:val="sr-Latn-BA"/>
                      </w:rPr>
                      <m:t>1</m:t>
                    </m:r>
                  </m:sub>
                </m:sSub>
                <m:r>
                  <w:rPr>
                    <w:rFonts w:ascii="Cambria Math" w:hAnsi="Cambria Math"/>
                    <w:sz w:val="20"/>
                    <w:szCs w:val="20"/>
                    <w:lang w:val="sr-Latn-BA"/>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num>
              <m:den>
                <m:r>
                  <w:rPr>
                    <w:rFonts w:ascii="Cambria Math" w:hAnsi="Cambria Math"/>
                    <w:sz w:val="20"/>
                    <w:szCs w:val="20"/>
                  </w:rPr>
                  <m:t>D</m:t>
                </m:r>
                <m:r>
                  <w:rPr>
                    <w:rFonts w:ascii="Cambria Math" w:hAnsi="Cambria Math"/>
                    <w:sz w:val="20"/>
                    <w:szCs w:val="20"/>
                    <w:lang w:val="sr-Latn-BA"/>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den>
            </m:f>
          </m:e>
        </m:d>
        <m:r>
          <w:rPr>
            <w:rFonts w:ascii="Cambria Math" w:hAnsi="Cambria Math"/>
            <w:sz w:val="20"/>
            <w:szCs w:val="20"/>
            <w:lang w:val="sr-Latn-BA"/>
          </w:rPr>
          <m:t>,</m:t>
        </m:r>
        <m:sSub>
          <m:sSubPr>
            <m:ctrlPr>
              <w:rPr>
                <w:rFonts w:ascii="Cambria Math" w:hAnsi="Cambria Math"/>
                <w:i/>
                <w:sz w:val="20"/>
                <w:szCs w:val="20"/>
              </w:rPr>
            </m:ctrlPr>
          </m:sSubPr>
          <m:e>
            <m:r>
              <w:rPr>
                <w:rFonts w:ascii="Cambria Math" w:hAnsi="Cambria Math"/>
                <w:sz w:val="20"/>
                <w:szCs w:val="20"/>
              </w:rPr>
              <m:t>D</m:t>
            </m:r>
          </m:e>
          <m:sub>
            <m:r>
              <w:rPr>
                <w:rFonts w:ascii="Cambria Math" w:hAnsi="Cambria Math"/>
                <w:sz w:val="20"/>
                <w:szCs w:val="20"/>
                <w:lang w:val="sr-Latn-BA"/>
              </w:rPr>
              <m:t>1</m:t>
            </m:r>
          </m:sub>
        </m:sSub>
        <m:r>
          <w:rPr>
            <w:rFonts w:ascii="Cambria Math" w:hAnsi="Cambria Math"/>
            <w:sz w:val="20"/>
            <w:szCs w:val="20"/>
            <w:lang w:val="sr-Latn-BA"/>
          </w:rPr>
          <m:t>&lt;</m:t>
        </m:r>
        <m:r>
          <w:rPr>
            <w:rFonts w:ascii="Cambria Math" w:hAnsi="Cambria Math"/>
            <w:sz w:val="20"/>
            <w:szCs w:val="20"/>
          </w:rPr>
          <m:t>W</m:t>
        </m:r>
      </m:oMath>
      <w:r w:rsidRPr="007C1030">
        <w:rPr>
          <w:rFonts w:ascii="Times New Roman" w:hAnsi="Times New Roman"/>
          <w:sz w:val="20"/>
          <w:szCs w:val="20"/>
          <w:lang w:val="sr-Latn-BA"/>
        </w:rPr>
        <w:t xml:space="preserve"> </w:t>
      </w:r>
      <w:r w:rsidRPr="007C1030">
        <w:rPr>
          <w:rFonts w:ascii="Times New Roman" w:hAnsi="Times New Roman"/>
          <w:sz w:val="20"/>
          <w:szCs w:val="20"/>
          <w:lang w:val="sr-Latn-BA"/>
        </w:rPr>
        <w:tab/>
        <w:t xml:space="preserve">     </w:t>
      </w:r>
      <w:r w:rsidRPr="007C1030">
        <w:rPr>
          <w:rFonts w:ascii="Cambria Math" w:hAnsi="Cambria Math"/>
          <w:sz w:val="20"/>
          <w:szCs w:val="20"/>
          <w:lang w:val="sr-Latn-BA"/>
        </w:rPr>
        <w:t>(26)</w:t>
      </w:r>
    </w:p>
    <w:p w14:paraId="3A5E27DE" w14:textId="77777777" w:rsidR="00097C63" w:rsidRDefault="00FB6D14">
      <w:pPr>
        <w:ind w:firstLine="284"/>
        <w:rPr>
          <w:rFonts w:ascii="Times New Roman" w:hAnsi="Times New Roman"/>
          <w:sz w:val="20"/>
          <w:szCs w:val="20"/>
        </w:rPr>
      </w:pPr>
      <w:r>
        <w:rPr>
          <w:rFonts w:ascii="Times New Roman" w:hAnsi="Times New Roman" w:hint="eastAsia"/>
          <w:sz w:val="20"/>
          <w:szCs w:val="20"/>
        </w:rPr>
        <w:t>In the formula (26), the symbol "</w:t>
      </w:r>
      <w:r>
        <w:rPr>
          <w:rFonts w:ascii="Cambria Math" w:hAnsi="Cambria Math" w:cs="Cambria Math"/>
          <w:sz w:val="20"/>
          <w:szCs w:val="20"/>
        </w:rPr>
        <w:t>⌊⌋</w:t>
      </w:r>
      <w:r>
        <w:rPr>
          <w:rFonts w:ascii="Times New Roman" w:hAnsi="Times New Roman" w:hint="eastAsia"/>
          <w:sz w:val="20"/>
          <w:szCs w:val="20"/>
        </w:rPr>
        <w:t>" represents the floor function, which means taking the greatest integer less than or equal to the given number.</w:t>
      </w:r>
    </w:p>
    <w:p w14:paraId="387B922B" w14:textId="77777777" w:rsidR="00097C63" w:rsidRDefault="00FB6D14">
      <w:pPr>
        <w:ind w:firstLine="284"/>
        <w:rPr>
          <w:rFonts w:ascii="Times New Roman" w:hAnsi="Times New Roman"/>
          <w:sz w:val="20"/>
          <w:szCs w:val="20"/>
        </w:rPr>
      </w:pPr>
      <w:r>
        <w:rPr>
          <w:rFonts w:ascii="Times New Roman" w:hAnsi="Times New Roman" w:hint="eastAsia"/>
          <w:sz w:val="20"/>
          <w:szCs w:val="20"/>
        </w:rPr>
        <w:t>The expected downtime of the equipment is:</w:t>
      </w:r>
    </w:p>
    <w:p w14:paraId="6F38542E" w14:textId="77777777" w:rsidR="00097C63" w:rsidRDefault="00FB6D14">
      <w:pPr>
        <w:jc w:val="right"/>
        <w:rPr>
          <w:rFonts w:ascii="Times New Roman" w:hAnsi="Times New Roman"/>
          <w:sz w:val="20"/>
          <w:szCs w:val="20"/>
          <w:lang w:val="sr-Latn-BA"/>
        </w:rPr>
      </w:pPr>
      <m:oMath>
        <m:r>
          <w:rPr>
            <w:rFonts w:ascii="Cambria Math" w:hAnsi="Cambria Math"/>
            <w:sz w:val="20"/>
            <w:szCs w:val="20"/>
          </w:rPr>
          <m:t>E(</m:t>
        </m:r>
        <m:sSub>
          <m:sSubPr>
            <m:ctrlPr>
              <w:rPr>
                <w:rFonts w:ascii="Cambria Math" w:hAnsi="Cambria Math"/>
                <w:i/>
                <w:sz w:val="20"/>
                <w:szCs w:val="20"/>
              </w:rPr>
            </m:ctrlPr>
          </m:sSubPr>
          <m:e>
            <m:r>
              <w:rPr>
                <w:rFonts w:ascii="Cambria Math" w:hAnsi="Cambria Math"/>
                <w:sz w:val="20"/>
                <w:szCs w:val="20"/>
              </w:rPr>
              <m:t>T</m:t>
            </m:r>
          </m:e>
          <m:sub>
            <m:r>
              <m:rPr>
                <m:nor/>
              </m:rPr>
              <w:rPr>
                <w:rFonts w:ascii="Times New Roman" w:hAnsi="Times New Roman"/>
                <w:sz w:val="20"/>
                <w:szCs w:val="20"/>
              </w:rPr>
              <m:t>halt</m:t>
            </m:r>
            <m:ctrlPr>
              <w:rPr>
                <w:rFonts w:ascii="Cambria Math" w:hAnsi="Cambria Math"/>
                <w:sz w:val="20"/>
                <w:szCs w:val="20"/>
              </w:rPr>
            </m:ctrlPr>
          </m:sub>
        </m:sSub>
        <m:r>
          <w:rPr>
            <w:rFonts w:ascii="Cambria Math" w:hAnsi="Cambria Math"/>
            <w:sz w:val="20"/>
            <w:szCs w:val="20"/>
          </w:rPr>
          <m:t>)=</m:t>
        </m:r>
        <m:nary>
          <m:naryPr>
            <m:chr m:val="∑"/>
            <m:ctrlPr>
              <w:rPr>
                <w:rFonts w:ascii="Cambria Math" w:hAnsi="Cambria Math"/>
                <w:i/>
                <w:sz w:val="20"/>
                <w:szCs w:val="20"/>
              </w:rPr>
            </m:ctrlPr>
          </m:naryPr>
          <m:sub>
            <m:r>
              <w:rPr>
                <w:rFonts w:ascii="Cambria Math" w:hAnsi="Cambria Math"/>
                <w:sz w:val="20"/>
                <w:szCs w:val="20"/>
              </w:rPr>
              <m:t>k=1</m:t>
            </m:r>
          </m:sub>
          <m:sup>
            <m:r>
              <w:rPr>
                <w:rFonts w:ascii="Cambria Math" w:hAnsi="Cambria Math"/>
                <w:sz w:val="20"/>
                <w:szCs w:val="20"/>
              </w:rPr>
              <m:t>λ</m:t>
            </m:r>
          </m:sup>
          <m:e>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c,k</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m:rPr>
                    <m:nor/>
                  </m:rPr>
                  <w:rPr>
                    <w:rFonts w:ascii="Times New Roman" w:hAnsi="Times New Roman"/>
                    <w:sz w:val="20"/>
                    <w:szCs w:val="20"/>
                  </w:rPr>
                  <m:t>halt</m:t>
                </m:r>
                <m:ctrlPr>
                  <w:rPr>
                    <w:rFonts w:ascii="Cambria Math" w:hAnsi="Cambria Math"/>
                    <w:sz w:val="20"/>
                    <w:szCs w:val="20"/>
                  </w:rPr>
                </m:ctrlPr>
              </m:sub>
            </m:sSub>
            <m:r>
              <w:rPr>
                <w:rFonts w:ascii="Cambria Math" w:hAnsi="Cambria Math"/>
                <w:sz w:val="20"/>
                <w:szCs w:val="20"/>
              </w:rPr>
              <m:t>)</m:t>
            </m:r>
          </m:e>
        </m:nary>
        <m:r>
          <w:rPr>
            <w:rFonts w:ascii="Cambria Math" w:hAnsi="Cambria Math"/>
            <w:sz w:val="20"/>
            <w:szCs w:val="20"/>
          </w:rPr>
          <m:t>+</m:t>
        </m:r>
        <m:nary>
          <m:naryPr>
            <m:chr m:val="∑"/>
            <m:ctrlPr>
              <w:rPr>
                <w:rFonts w:ascii="Cambria Math" w:hAnsi="Cambria Math"/>
                <w:i/>
                <w:sz w:val="20"/>
                <w:szCs w:val="20"/>
              </w:rPr>
            </m:ctrlPr>
          </m:naryPr>
          <m:sub>
            <m:r>
              <w:rPr>
                <w:rFonts w:ascii="Cambria Math" w:hAnsi="Cambria Math"/>
                <w:sz w:val="20"/>
                <w:szCs w:val="20"/>
              </w:rPr>
              <m:t>k=1</m:t>
            </m:r>
          </m:sub>
          <m:sup>
            <m:r>
              <w:rPr>
                <w:rFonts w:ascii="Cambria Math" w:hAnsi="Cambria Math"/>
                <w:sz w:val="20"/>
                <w:szCs w:val="20"/>
              </w:rPr>
              <m:t>λ</m:t>
            </m:r>
          </m:sup>
          <m:e>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p,k</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m:rPr>
                    <m:nor/>
                  </m:rPr>
                  <w:rPr>
                    <w:rFonts w:ascii="Times New Roman" w:hAnsi="Times New Roman"/>
                    <w:sz w:val="20"/>
                    <w:szCs w:val="20"/>
                  </w:rPr>
                  <m:t>halt</m:t>
                </m:r>
                <m:ctrlPr>
                  <w:rPr>
                    <w:rFonts w:ascii="Cambria Math" w:hAnsi="Cambria Math"/>
                    <w:sz w:val="20"/>
                    <w:szCs w:val="20"/>
                  </w:rPr>
                </m:ctrlPr>
              </m:sub>
            </m:sSub>
            <m:r>
              <w:rPr>
                <w:rFonts w:ascii="Cambria Math" w:hAnsi="Cambria Math"/>
                <w:sz w:val="20"/>
                <w:szCs w:val="20"/>
              </w:rPr>
              <m:t>)</m:t>
            </m:r>
          </m:e>
        </m:nary>
      </m:oMath>
      <w:r>
        <w:rPr>
          <w:rFonts w:ascii="Cambria Math" w:hAnsi="Cambria Math"/>
          <w:sz w:val="20"/>
          <w:szCs w:val="20"/>
        </w:rPr>
        <w:t xml:space="preserve">    (27)</w:t>
      </w:r>
    </w:p>
    <w:p w14:paraId="3AE3A1F2"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The expressions for </w:t>
      </w:r>
      <m:oMath>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p,k</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m:rPr>
                <m:nor/>
              </m:rPr>
              <w:rPr>
                <w:rFonts w:ascii="Times New Roman" w:hAnsi="Times New Roman"/>
                <w:sz w:val="20"/>
                <w:szCs w:val="20"/>
              </w:rPr>
              <m:t>halt</m:t>
            </m:r>
            <m:ctrlPr>
              <w:rPr>
                <w:rFonts w:ascii="Cambria Math" w:hAnsi="Cambria Math"/>
                <w:sz w:val="20"/>
                <w:szCs w:val="20"/>
              </w:rPr>
            </m:ctrlPr>
          </m:sub>
        </m:sSub>
        <m:r>
          <w:rPr>
            <w:rFonts w:ascii="Cambria Math" w:hAnsi="Cambria Math"/>
            <w:sz w:val="20"/>
            <w:szCs w:val="20"/>
          </w:rPr>
          <m:t>)</m:t>
        </m:r>
      </m:oMath>
      <w:r>
        <w:rPr>
          <w:rFonts w:ascii="Times New Roman" w:hAnsi="Times New Roman" w:hint="eastAsia"/>
          <w:sz w:val="20"/>
          <w:szCs w:val="20"/>
        </w:rPr>
        <w:t xml:space="preserve"> and </w:t>
      </w:r>
      <m:oMath>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c,k</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m:rPr>
                <m:nor/>
              </m:rPr>
              <w:rPr>
                <w:rFonts w:ascii="Times New Roman" w:hAnsi="Times New Roman"/>
                <w:sz w:val="20"/>
                <w:szCs w:val="20"/>
              </w:rPr>
              <m:t>halt</m:t>
            </m:r>
            <m:ctrlPr>
              <w:rPr>
                <w:rFonts w:ascii="Cambria Math" w:hAnsi="Cambria Math"/>
                <w:sz w:val="20"/>
                <w:szCs w:val="20"/>
              </w:rPr>
            </m:ctrlPr>
          </m:sub>
        </m:sSub>
        <m:r>
          <w:rPr>
            <w:rFonts w:ascii="Cambria Math" w:hAnsi="Cambria Math"/>
            <w:sz w:val="20"/>
            <w:szCs w:val="20"/>
          </w:rPr>
          <m:t>)</m:t>
        </m:r>
      </m:oMath>
      <w:r>
        <w:rPr>
          <w:rFonts w:ascii="Times New Roman" w:hAnsi="Times New Roman" w:hint="eastAsia"/>
          <w:sz w:val="20"/>
          <w:szCs w:val="20"/>
        </w:rPr>
        <w:t xml:space="preserve"> are as follows:</w:t>
      </w:r>
    </w:p>
    <w:p w14:paraId="5B675254" w14:textId="77777777" w:rsidR="00097C63" w:rsidRDefault="00097C63">
      <w:pPr>
        <w:ind w:firstLine="284"/>
        <w:rPr>
          <w:rFonts w:ascii="Times New Roman" w:hAnsi="Times New Roman"/>
          <w:sz w:val="20"/>
          <w:szCs w:val="20"/>
        </w:rPr>
        <w:sectPr w:rsidR="00097C63">
          <w:type w:val="continuous"/>
          <w:pgSz w:w="11906" w:h="16838"/>
          <w:pgMar w:top="1219" w:right="567" w:bottom="1219" w:left="567" w:header="765" w:footer="567" w:gutter="0"/>
          <w:cols w:num="2" w:space="566"/>
          <w:docGrid w:type="linesAndChars" w:linePitch="313" w:charSpace="139"/>
        </w:sectPr>
      </w:pPr>
    </w:p>
    <w:p w14:paraId="60E0846E" w14:textId="253E868B" w:rsidR="00097C63" w:rsidRDefault="006600FE">
      <w:pPr>
        <w:ind w:firstLine="284"/>
        <w:jc w:val="right"/>
        <w:rPr>
          <w:rFonts w:ascii="Cambria Math" w:hAnsi="Cambria Math"/>
          <w:sz w:val="20"/>
          <w:szCs w:val="20"/>
          <w:lang w:val="sr-Latn-BA"/>
        </w:rPr>
      </w:pPr>
      <m:oMath>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p,k</m:t>
            </m:r>
          </m:sub>
        </m:sSub>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T</m:t>
                </m:r>
              </m:e>
              <m:sub>
                <m:r>
                  <m:rPr>
                    <m:nor/>
                  </m:rPr>
                  <w:rPr>
                    <w:rFonts w:ascii="Cambria Math" w:hAnsi="Cambria Math"/>
                    <w:sz w:val="20"/>
                    <w:szCs w:val="20"/>
                  </w:rPr>
                  <m:t>halt</m:t>
                </m:r>
                <m:ctrlPr>
                  <w:rPr>
                    <w:rFonts w:ascii="Cambria Math" w:hAnsi="Cambria Math"/>
                    <w:sz w:val="20"/>
                    <w:szCs w:val="20"/>
                  </w:rPr>
                </m:ctrlPr>
              </m:sub>
            </m:sSub>
          </m:e>
        </m:d>
        <m:r>
          <w:rPr>
            <w:rFonts w:ascii="Cambria Math" w:hAnsi="Cambria Math"/>
            <w:sz w:val="20"/>
            <w:szCs w:val="20"/>
          </w:rPr>
          <m:t>=</m:t>
        </m:r>
        <m:d>
          <m:dPr>
            <m:begChr m:val="{"/>
            <m:endChr m:val=""/>
            <m:ctrlPr>
              <w:rPr>
                <w:rFonts w:ascii="Cambria Math" w:hAnsi="Cambria Math"/>
                <w:i/>
                <w:sz w:val="20"/>
                <w:szCs w:val="20"/>
              </w:rPr>
            </m:ctrlPr>
          </m:dPr>
          <m:e>
            <m:eqArr>
              <m:eqArrPr>
                <m:ctrlPr>
                  <w:rPr>
                    <w:rFonts w:ascii="Cambria Math" w:hAnsi="Cambria Math"/>
                    <w:i/>
                    <w:sz w:val="20"/>
                    <w:szCs w:val="20"/>
                  </w:rPr>
                </m:ctrlPr>
              </m:eqArrPr>
              <m:e>
                <m:r>
                  <w:rPr>
                    <w:rFonts w:ascii="Cambria Math" w:hAnsi="Cambria Math"/>
                    <w:sz w:val="20"/>
                    <w:szCs w:val="20"/>
                  </w:rPr>
                  <m:t>&amp;(</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p</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1</m:t>
                    </m:r>
                  </m:sub>
                </m:sSub>
                <m:r>
                  <w:rPr>
                    <w:rFonts w:ascii="Cambria Math" w:hAnsi="Cambria Math"/>
                    <w:sz w:val="20"/>
                    <w:szCs w:val="20"/>
                  </w:rPr>
                  <m:t>​​​​​​​​​​​​​​​​​​​​​​​​​​​​​​​k=1</m:t>
                </m:r>
              </m:e>
              <m:e>
                <m:r>
                  <w:rPr>
                    <w:rFonts w:ascii="Cambria Math" w:hAnsi="Cambria Math"/>
                    <w:sz w:val="20"/>
                    <w:szCs w:val="20"/>
                  </w:rPr>
                  <m:t>&amp;(2</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p</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2</m:t>
                    </m:r>
                  </m:sub>
                </m:sSub>
                <m:r>
                  <w:rPr>
                    <w:rFonts w:ascii="Cambria Math" w:hAnsi="Cambria Math"/>
                    <w:sz w:val="20"/>
                    <w:szCs w:val="20"/>
                  </w:rPr>
                  <m:t>​​​​​​​​​​​​​​​​​​​​​​​k=2</m:t>
                </m:r>
              </m:e>
              <m:e>
                <m:r>
                  <w:rPr>
                    <w:rFonts w:ascii="Cambria Math" w:hAnsi="Cambria Math"/>
                    <w:sz w:val="20"/>
                    <w:szCs w:val="20"/>
                  </w:rPr>
                  <m:t>&amp;(k</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p</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k</m:t>
                    </m:r>
                  </m:sub>
                </m:sSub>
                <m:r>
                  <w:rPr>
                    <w:rFonts w:ascii="Cambria Math" w:hAnsi="Cambria Math"/>
                    <w:sz w:val="20"/>
                    <w:szCs w:val="20"/>
                  </w:rPr>
                  <m:t>​​​​​​​​​​​​​​​​​​​​​​2&lt;​​k≤λ</m:t>
                </m:r>
              </m:e>
            </m:eqArr>
          </m:e>
        </m:d>
        <m:sSub>
          <m:sSubPr>
            <m:ctrlPr>
              <w:rPr>
                <w:rFonts w:ascii="Cambria Math" w:hAnsi="Cambria Math"/>
                <w:i/>
                <w:sz w:val="20"/>
                <w:szCs w:val="20"/>
              </w:rPr>
            </m:ctrlPr>
          </m:sSubPr>
          <m:e>
            <m:r>
              <w:rPr>
                <w:rFonts w:ascii="Cambria Math" w:hAnsi="Cambria Math"/>
                <w:sz w:val="20"/>
                <w:szCs w:val="20"/>
              </w:rPr>
              <m:t xml:space="preserve">                               </m:t>
            </m:r>
            <m:r>
              <w:rPr>
                <w:rFonts w:ascii="Cambria Math" w:hAnsi="Cambria Math"/>
                <w:sz w:val="20"/>
                <w:szCs w:val="20"/>
              </w:rPr>
              <m:t>E</m:t>
            </m:r>
          </m:e>
          <m:sub>
            <m:r>
              <w:rPr>
                <w:rFonts w:ascii="Cambria Math" w:hAnsi="Cambria Math"/>
                <w:sz w:val="20"/>
                <w:szCs w:val="20"/>
              </w:rPr>
              <m:t>c,k</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m:rPr>
                <m:nor/>
              </m:rPr>
              <w:rPr>
                <w:rFonts w:ascii="Cambria Math" w:hAnsi="Cambria Math"/>
                <w:sz w:val="20"/>
                <w:szCs w:val="20"/>
              </w:rPr>
              <m:t>halt</m:t>
            </m:r>
            <m:ctrlPr>
              <w:rPr>
                <w:rFonts w:ascii="Cambria Math" w:hAnsi="Cambria Math"/>
                <w:sz w:val="20"/>
                <w:szCs w:val="20"/>
              </w:rPr>
            </m:ctrlPr>
          </m:sub>
        </m:sSub>
        <m:r>
          <w:rPr>
            <w:rFonts w:ascii="Cambria Math" w:hAnsi="Cambria Math"/>
            <w:sz w:val="20"/>
            <w:szCs w:val="20"/>
          </w:rPr>
          <m:t>)=</m:t>
        </m:r>
        <m:d>
          <m:dPr>
            <m:begChr m:val="{"/>
            <m:endChr m:val=""/>
            <m:ctrlPr>
              <w:rPr>
                <w:rFonts w:ascii="Cambria Math" w:hAnsi="Cambria Math"/>
                <w:i/>
                <w:sz w:val="20"/>
                <w:szCs w:val="20"/>
              </w:rPr>
            </m:ctrlPr>
          </m:dPr>
          <m:e>
            <m:eqArr>
              <m:eqArrPr>
                <m:ctrlPr>
                  <w:rPr>
                    <w:rFonts w:ascii="Cambria Math" w:hAnsi="Cambria Math"/>
                    <w:i/>
                    <w:sz w:val="20"/>
                    <w:szCs w:val="20"/>
                  </w:rPr>
                </m:ctrlPr>
              </m:eqArrPr>
              <m:e>
                <m:r>
                  <w:rPr>
                    <w:rFonts w:ascii="Cambria Math" w:hAnsi="Cambria Math"/>
                    <w:sz w:val="20"/>
                    <w:szCs w:val="20"/>
                  </w:rPr>
                  <m:t>&amp;(</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1</m:t>
                    </m:r>
                  </m:sub>
                </m:sSub>
                <m:r>
                  <w:rPr>
                    <w:rFonts w:ascii="Cambria Math" w:hAnsi="Cambria Math"/>
                    <w:sz w:val="20"/>
                    <w:szCs w:val="20"/>
                  </w:rPr>
                  <m:t>​​​​​​​​​​​​​​​​​​​​​​​​​​​​​​k=1</m:t>
                </m:r>
              </m:e>
              <m:e>
                <m:r>
                  <w:rPr>
                    <w:rFonts w:ascii="Cambria Math" w:hAnsi="Cambria Math"/>
                    <w:sz w:val="20"/>
                    <w:szCs w:val="20"/>
                  </w:rPr>
                  <m:t>&amp;(2</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2</m:t>
                    </m:r>
                  </m:sub>
                </m:sSub>
                <m:r>
                  <w:rPr>
                    <w:rFonts w:ascii="Cambria Math" w:hAnsi="Cambria Math"/>
                    <w:sz w:val="20"/>
                    <w:szCs w:val="20"/>
                  </w:rPr>
                  <m:t>​​​​​​​​​​​​​​​​​​​​​​k=2</m:t>
                </m:r>
              </m:e>
              <m:e>
                <m:r>
                  <w:rPr>
                    <w:rFonts w:ascii="Cambria Math" w:hAnsi="Cambria Math"/>
                    <w:sz w:val="20"/>
                    <w:szCs w:val="20"/>
                  </w:rPr>
                  <m:t>&amp;(3</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3</m:t>
                    </m:r>
                  </m:sub>
                </m:sSub>
                <m:r>
                  <m:rPr>
                    <m:nor/>
                  </m:rPr>
                  <w:rPr>
                    <w:rFonts w:ascii="Cambria Math" w:hAnsi="Cambria Math"/>
                    <w:sz w:val="20"/>
                    <w:szCs w:val="20"/>
                  </w:rPr>
                  <m:t xml:space="preserve">       </m:t>
                </m:r>
                <m:r>
                  <w:rPr>
                    <w:rFonts w:ascii="Cambria Math" w:hAnsi="Cambria Math"/>
                    <w:sz w:val="20"/>
                    <w:szCs w:val="20"/>
                  </w:rPr>
                  <m:t>k</m:t>
                </m:r>
                <m:r>
                  <m:rPr>
                    <m:sty m:val="p"/>
                  </m:rPr>
                  <w:rPr>
                    <w:rFonts w:ascii="Cambria Math" w:hAnsi="Cambria Math"/>
                    <w:sz w:val="20"/>
                    <w:szCs w:val="20"/>
                  </w:rPr>
                  <m:t>=3</m:t>
                </m:r>
                <m:ctrlPr>
                  <w:rPr>
                    <w:rFonts w:ascii="Cambria Math" w:hAnsi="Cambria Math"/>
                    <w:sz w:val="20"/>
                    <w:szCs w:val="20"/>
                  </w:rPr>
                </m:ctrlPr>
              </m:e>
              <m:e>
                <m:r>
                  <w:rPr>
                    <w:rFonts w:ascii="Cambria Math" w:hAnsi="Cambria Math"/>
                    <w:sz w:val="20"/>
                    <w:szCs w:val="20"/>
                  </w:rPr>
                  <m:t>&amp;(k</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k</m:t>
                    </m:r>
                  </m:sub>
                </m:sSub>
                <m:r>
                  <w:rPr>
                    <w:rFonts w:ascii="Cambria Math" w:hAnsi="Cambria Math"/>
                    <w:sz w:val="20"/>
                    <w:szCs w:val="20"/>
                  </w:rPr>
                  <m:t>​​​​​​​​​​​​​​​​​​​​​​3&lt;​​k≤λ</m:t>
                </m:r>
              </m:e>
            </m:eqArr>
          </m:e>
        </m:d>
      </m:oMath>
      <w:r w:rsidR="00FB6D14">
        <w:rPr>
          <w:rFonts w:ascii="Cambria Math" w:hAnsi="Cambria Math"/>
          <w:sz w:val="20"/>
          <w:szCs w:val="20"/>
        </w:rPr>
        <w:t xml:space="preserve"> </w:t>
      </w:r>
      <w:r w:rsidR="00FB6D14">
        <w:rPr>
          <w:rFonts w:ascii="Cambria Math" w:hAnsi="Cambria Math"/>
          <w:sz w:val="20"/>
          <w:szCs w:val="20"/>
        </w:rPr>
        <w:tab/>
      </w:r>
      <w:r w:rsidR="00FB6D14">
        <w:rPr>
          <w:rFonts w:ascii="Cambria Math" w:hAnsi="Cambria Math"/>
          <w:sz w:val="20"/>
          <w:szCs w:val="20"/>
        </w:rPr>
        <w:tab/>
        <w:t>(28)</w:t>
      </w:r>
    </w:p>
    <w:p w14:paraId="3C8CF9CF" w14:textId="77777777" w:rsidR="00097C63" w:rsidRDefault="00097C63">
      <w:pPr>
        <w:ind w:firstLine="284"/>
        <w:rPr>
          <w:rFonts w:ascii="Times New Roman" w:hAnsi="Times New Roman"/>
          <w:sz w:val="20"/>
          <w:szCs w:val="20"/>
        </w:rPr>
      </w:pPr>
    </w:p>
    <w:p w14:paraId="25CE3F27" w14:textId="77777777" w:rsidR="00097C63" w:rsidRDefault="00097C63">
      <w:pPr>
        <w:rPr>
          <w:rFonts w:ascii="Times New Roman" w:hAnsi="Times New Roman"/>
          <w:sz w:val="20"/>
          <w:szCs w:val="20"/>
        </w:rPr>
        <w:sectPr w:rsidR="00097C63">
          <w:type w:val="continuous"/>
          <w:pgSz w:w="11906" w:h="16838"/>
          <w:pgMar w:top="1219" w:right="567" w:bottom="1219" w:left="567" w:header="765" w:footer="567" w:gutter="0"/>
          <w:cols w:space="566"/>
          <w:docGrid w:type="linesAndChars" w:linePitch="313" w:charSpace="139"/>
        </w:sectPr>
      </w:pPr>
    </w:p>
    <w:p w14:paraId="2D1C1470" w14:textId="77777777" w:rsidR="00097C63" w:rsidRDefault="00FB6D14">
      <w:pPr>
        <w:ind w:firstLine="284"/>
        <w:rPr>
          <w:rFonts w:ascii="Times New Roman" w:hAnsi="Times New Roman"/>
          <w:sz w:val="20"/>
          <w:szCs w:val="20"/>
        </w:rPr>
      </w:pPr>
      <w:r>
        <w:rPr>
          <w:rFonts w:ascii="Times New Roman" w:hAnsi="Times New Roman"/>
          <w:sz w:val="20"/>
          <w:szCs w:val="20"/>
        </w:rPr>
        <w:t>The calculation method for expected warranty cost is similar to the derivation process of expected downtime</w:t>
      </w:r>
      <w:r>
        <w:rPr>
          <w:rFonts w:ascii="Times New Roman" w:hAnsi="Times New Roman" w:hint="eastAsia"/>
          <w:sz w:val="20"/>
          <w:szCs w:val="20"/>
        </w:rPr>
        <w:t>;</w:t>
      </w:r>
      <w:r>
        <w:rPr>
          <w:rFonts w:ascii="Times New Roman" w:hAnsi="Times New Roman"/>
          <w:sz w:val="20"/>
          <w:szCs w:val="20"/>
        </w:rPr>
        <w:t xml:space="preserve"> only the relevant symbols need to be replaced. Specifically, replace the inspection time</w:t>
      </w:r>
      <w:r>
        <w:rPr>
          <w:rFonts w:ascii="Times New Roman" w:hAnsi="Times New Roman" w:hint="eastAsia"/>
          <w:sz w:val="20"/>
          <w:szCs w:val="20"/>
        </w:rPr>
        <w:t xml:space="preserve"> </w:t>
      </w:r>
      <w:r>
        <w:rPr>
          <w:rFonts w:ascii="Times New Roman" w:hAnsi="Times New Roman" w:hint="eastAsia"/>
          <w:i/>
          <w:iCs/>
          <w:sz w:val="20"/>
          <w:szCs w:val="20"/>
        </w:rPr>
        <w:t>T</w:t>
      </w:r>
      <w:r>
        <w:rPr>
          <w:rFonts w:ascii="Times New Roman" w:hAnsi="Times New Roman" w:hint="eastAsia"/>
          <w:i/>
          <w:iCs/>
          <w:sz w:val="20"/>
          <w:szCs w:val="20"/>
          <w:vertAlign w:val="subscript"/>
        </w:rPr>
        <w:t>j</w:t>
      </w:r>
      <w:r>
        <w:rPr>
          <w:rFonts w:ascii="Times New Roman" w:hAnsi="Times New Roman"/>
          <w:sz w:val="20"/>
          <w:szCs w:val="20"/>
        </w:rPr>
        <w:t xml:space="preserve"> with the inspection cost </w:t>
      </w:r>
      <w:r>
        <w:rPr>
          <w:rFonts w:ascii="Times New Roman" w:hAnsi="Times New Roman" w:hint="eastAsia"/>
          <w:i/>
          <w:iCs/>
          <w:sz w:val="20"/>
          <w:szCs w:val="20"/>
        </w:rPr>
        <w:t>C</w:t>
      </w:r>
      <w:r>
        <w:rPr>
          <w:rFonts w:ascii="Times New Roman" w:hAnsi="Times New Roman" w:hint="eastAsia"/>
          <w:i/>
          <w:iCs/>
          <w:sz w:val="20"/>
          <w:szCs w:val="20"/>
          <w:vertAlign w:val="subscript"/>
        </w:rPr>
        <w:t xml:space="preserve">j </w:t>
      </w:r>
      <w:r>
        <w:rPr>
          <w:rFonts w:ascii="Times New Roman" w:hAnsi="Times New Roman"/>
          <w:sz w:val="20"/>
          <w:szCs w:val="20"/>
        </w:rPr>
        <w:t xml:space="preserve">, and replace the average time for each </w:t>
      </w:r>
      <w:r>
        <w:rPr>
          <w:rFonts w:ascii="Times New Roman" w:hAnsi="Times New Roman" w:hint="eastAsia"/>
          <w:sz w:val="20"/>
          <w:szCs w:val="20"/>
        </w:rPr>
        <w:t>PM</w:t>
      </w:r>
      <w:r>
        <w:rPr>
          <w:rFonts w:ascii="Times New Roman" w:hAnsi="Times New Roman"/>
          <w:sz w:val="20"/>
          <w:szCs w:val="20"/>
        </w:rPr>
        <w:t xml:space="preserve"> </w:t>
      </w:r>
      <w:r>
        <w:rPr>
          <w:rFonts w:ascii="Times New Roman" w:hAnsi="Times New Roman" w:hint="eastAsia"/>
          <w:i/>
          <w:iCs/>
          <w:sz w:val="20"/>
          <w:szCs w:val="20"/>
        </w:rPr>
        <w:t>T</w:t>
      </w:r>
      <w:r>
        <w:rPr>
          <w:rFonts w:ascii="Times New Roman" w:hAnsi="Times New Roman" w:hint="eastAsia"/>
          <w:sz w:val="20"/>
          <w:szCs w:val="20"/>
          <w:vertAlign w:val="subscript"/>
        </w:rPr>
        <w:t>p</w:t>
      </w:r>
      <w:r>
        <w:rPr>
          <w:rFonts w:ascii="Times New Roman" w:hAnsi="Times New Roman"/>
          <w:sz w:val="20"/>
          <w:szCs w:val="20"/>
        </w:rPr>
        <w:t xml:space="preserve"> and </w:t>
      </w:r>
      <w:r>
        <w:rPr>
          <w:rFonts w:ascii="Times New Roman" w:hAnsi="Times New Roman" w:hint="eastAsia"/>
          <w:sz w:val="20"/>
          <w:szCs w:val="20"/>
        </w:rPr>
        <w:t xml:space="preserve">CM </w:t>
      </w:r>
      <w:r>
        <w:rPr>
          <w:rFonts w:ascii="Times New Roman" w:hAnsi="Times New Roman" w:hint="eastAsia"/>
          <w:i/>
          <w:iCs/>
          <w:sz w:val="20"/>
          <w:szCs w:val="20"/>
        </w:rPr>
        <w:t>T</w:t>
      </w:r>
      <w:r>
        <w:rPr>
          <w:rFonts w:ascii="Times New Roman" w:hAnsi="Times New Roman" w:hint="eastAsia"/>
          <w:sz w:val="20"/>
          <w:szCs w:val="20"/>
          <w:vertAlign w:val="subscript"/>
        </w:rPr>
        <w:t>c</w:t>
      </w:r>
      <w:r>
        <w:rPr>
          <w:rFonts w:ascii="Times New Roman" w:hAnsi="Times New Roman"/>
          <w:sz w:val="20"/>
          <w:szCs w:val="20"/>
        </w:rPr>
        <w:t xml:space="preserve"> with the corresponding average costs </w:t>
      </w:r>
      <w:r>
        <w:rPr>
          <w:rFonts w:ascii="Times New Roman" w:hAnsi="Times New Roman" w:hint="eastAsia"/>
          <w:i/>
          <w:iCs/>
          <w:sz w:val="20"/>
          <w:szCs w:val="20"/>
        </w:rPr>
        <w:t>C</w:t>
      </w:r>
      <w:r>
        <w:rPr>
          <w:rFonts w:ascii="Times New Roman" w:hAnsi="Times New Roman" w:hint="eastAsia"/>
          <w:sz w:val="20"/>
          <w:szCs w:val="20"/>
          <w:vertAlign w:val="subscript"/>
        </w:rPr>
        <w:t>p</w:t>
      </w:r>
      <w:r>
        <w:rPr>
          <w:rFonts w:ascii="Times New Roman" w:hAnsi="Times New Roman"/>
          <w:sz w:val="20"/>
          <w:szCs w:val="20"/>
        </w:rPr>
        <w:t xml:space="preserve"> and </w:t>
      </w:r>
      <w:r>
        <w:rPr>
          <w:rFonts w:ascii="Times New Roman" w:hAnsi="Times New Roman" w:hint="eastAsia"/>
          <w:i/>
          <w:iCs/>
          <w:sz w:val="20"/>
          <w:szCs w:val="20"/>
        </w:rPr>
        <w:t>C</w:t>
      </w:r>
      <w:r>
        <w:rPr>
          <w:rFonts w:ascii="Times New Roman" w:hAnsi="Times New Roman" w:hint="eastAsia"/>
          <w:sz w:val="20"/>
          <w:szCs w:val="20"/>
          <w:vertAlign w:val="subscript"/>
        </w:rPr>
        <w:t>c</w:t>
      </w:r>
      <w:r>
        <w:rPr>
          <w:rFonts w:ascii="Times New Roman" w:hAnsi="Times New Roman" w:hint="eastAsia"/>
          <w:sz w:val="20"/>
          <w:szCs w:val="20"/>
        </w:rPr>
        <w:t>.</w:t>
      </w:r>
      <w:r>
        <w:rPr>
          <w:rFonts w:ascii="Times New Roman" w:hAnsi="Times New Roman"/>
          <w:sz w:val="20"/>
          <w:szCs w:val="20"/>
        </w:rPr>
        <w:t xml:space="preserve"> Based on this, the expression for warranty cost </w:t>
      </w:r>
      <w:r>
        <w:rPr>
          <w:rFonts w:ascii="Times New Roman" w:hAnsi="Times New Roman" w:hint="eastAsia"/>
          <w:sz w:val="20"/>
          <w:szCs w:val="20"/>
        </w:rPr>
        <w:t>is</w:t>
      </w:r>
      <w:r>
        <w:rPr>
          <w:rFonts w:ascii="Times New Roman" w:hAnsi="Times New Roman"/>
          <w:sz w:val="20"/>
          <w:szCs w:val="20"/>
        </w:rPr>
        <w:t>:</w:t>
      </w:r>
    </w:p>
    <w:p w14:paraId="60CE0A20" w14:textId="77777777" w:rsidR="00097C63" w:rsidRDefault="00FB6D14">
      <w:pPr>
        <w:ind w:firstLine="284"/>
        <w:jc w:val="right"/>
        <w:rPr>
          <w:rFonts w:ascii="Cambria Math" w:hAnsi="Cambria Math"/>
          <w:sz w:val="20"/>
          <w:szCs w:val="20"/>
        </w:rPr>
      </w:pPr>
      <m:oMath>
        <m:r>
          <w:rPr>
            <w:rFonts w:ascii="Cambria Math" w:hAnsi="Cambria Math"/>
            <w:sz w:val="20"/>
            <w:szCs w:val="20"/>
          </w:rPr>
          <m:t>EC=</m:t>
        </m:r>
        <m:nary>
          <m:naryPr>
            <m:chr m:val="∑"/>
            <m:ctrlPr>
              <w:rPr>
                <w:rFonts w:ascii="Cambria Math" w:hAnsi="Cambria Math"/>
                <w:i/>
                <w:sz w:val="20"/>
                <w:szCs w:val="20"/>
              </w:rPr>
            </m:ctrlPr>
          </m:naryPr>
          <m:sub>
            <m:r>
              <w:rPr>
                <w:rFonts w:ascii="Cambria Math" w:hAnsi="Cambria Math"/>
                <w:sz w:val="20"/>
                <w:szCs w:val="20"/>
              </w:rPr>
              <m:t>k=1</m:t>
            </m:r>
          </m:sub>
          <m:sup>
            <m:r>
              <w:rPr>
                <w:rFonts w:ascii="Cambria Math" w:hAnsi="Cambria Math"/>
                <w:sz w:val="20"/>
                <w:szCs w:val="20"/>
              </w:rPr>
              <m:t>λ</m:t>
            </m:r>
          </m:sup>
          <m:e>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c,k</m:t>
                </m:r>
              </m:sub>
            </m:sSub>
            <m:r>
              <w:rPr>
                <w:rFonts w:ascii="Cambria Math" w:hAnsi="Cambria Math"/>
                <w:sz w:val="20"/>
                <w:szCs w:val="20"/>
              </w:rPr>
              <m:t>(C)</m:t>
            </m:r>
          </m:e>
        </m:nary>
        <m:r>
          <w:rPr>
            <w:rFonts w:ascii="Cambria Math" w:hAnsi="Cambria Math"/>
            <w:sz w:val="20"/>
            <w:szCs w:val="20"/>
          </w:rPr>
          <m:t>+</m:t>
        </m:r>
        <m:nary>
          <m:naryPr>
            <m:chr m:val="∑"/>
            <m:ctrlPr>
              <w:rPr>
                <w:rFonts w:ascii="Cambria Math" w:hAnsi="Cambria Math"/>
                <w:i/>
                <w:sz w:val="20"/>
                <w:szCs w:val="20"/>
              </w:rPr>
            </m:ctrlPr>
          </m:naryPr>
          <m:sub>
            <m:r>
              <w:rPr>
                <w:rFonts w:ascii="Cambria Math" w:hAnsi="Cambria Math"/>
                <w:sz w:val="20"/>
                <w:szCs w:val="20"/>
              </w:rPr>
              <m:t>k=1</m:t>
            </m:r>
          </m:sub>
          <m:sup>
            <m:r>
              <w:rPr>
                <w:rFonts w:ascii="Cambria Math" w:hAnsi="Cambria Math"/>
                <w:sz w:val="20"/>
                <w:szCs w:val="20"/>
              </w:rPr>
              <m:t>λ</m:t>
            </m:r>
          </m:sup>
          <m:e>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p,k</m:t>
                </m:r>
              </m:sub>
            </m:sSub>
            <m:r>
              <w:rPr>
                <w:rFonts w:ascii="Cambria Math" w:hAnsi="Cambria Math"/>
                <w:sz w:val="20"/>
                <w:szCs w:val="20"/>
              </w:rPr>
              <m:t>(C)</m:t>
            </m:r>
          </m:e>
        </m:nary>
      </m:oMath>
      <w:r>
        <w:rPr>
          <w:rFonts w:ascii="Cambria Math" w:hAnsi="Cambria Math"/>
          <w:sz w:val="20"/>
          <w:szCs w:val="20"/>
        </w:rPr>
        <w:t xml:space="preserve"> </w:t>
      </w:r>
      <w:r>
        <w:rPr>
          <w:rFonts w:ascii="Cambria Math" w:hAnsi="Cambria Math"/>
          <w:sz w:val="20"/>
          <w:szCs w:val="20"/>
        </w:rPr>
        <w:tab/>
        <w:t>(29)</w:t>
      </w:r>
    </w:p>
    <w:p w14:paraId="1B93727B" w14:textId="77777777" w:rsidR="00097C63" w:rsidRDefault="00FB6D14">
      <w:pPr>
        <w:pStyle w:val="Nagwek2"/>
      </w:pPr>
      <w:r>
        <w:t xml:space="preserve">4.5. </w:t>
      </w:r>
      <w:r>
        <w:rPr>
          <w:rFonts w:hint="eastAsia"/>
        </w:rPr>
        <w:t>Performance warranty decision optimization model</w:t>
      </w:r>
    </w:p>
    <w:p w14:paraId="023610F9" w14:textId="77777777" w:rsidR="00097C63" w:rsidRDefault="00FB6D14">
      <w:pPr>
        <w:rPr>
          <w:rFonts w:ascii="Times New Roman" w:hAnsi="Times New Roman"/>
          <w:sz w:val="20"/>
          <w:szCs w:val="20"/>
        </w:rPr>
      </w:pPr>
      <w:r>
        <w:rPr>
          <w:rFonts w:ascii="Times New Roman" w:hAnsi="Times New Roman" w:hint="eastAsia"/>
          <w:sz w:val="20"/>
          <w:szCs w:val="20"/>
        </w:rPr>
        <w:t>When system availability is used as the core performance evaluation indicator, the relationship between the manufacturer's additional profit and system availability can be quantitatively described by a linear revenue function. The mathematical expression of this function is:</w:t>
      </w:r>
    </w:p>
    <w:p w14:paraId="4CA8BBCF" w14:textId="77777777" w:rsidR="00097C63" w:rsidRDefault="00FB6D14">
      <w:pPr>
        <w:jc w:val="right"/>
        <w:rPr>
          <w:rFonts w:ascii="Cambria Math" w:hAnsi="Cambria Math"/>
          <w:sz w:val="20"/>
          <w:szCs w:val="22"/>
        </w:rPr>
      </w:pPr>
      <m:oMath>
        <m:r>
          <w:rPr>
            <w:rFonts w:ascii="Cambria Math" w:hAnsi="Cambria Math"/>
            <w:sz w:val="20"/>
            <w:szCs w:val="22"/>
          </w:rPr>
          <m:t>EI=</m:t>
        </m:r>
        <m:d>
          <m:dPr>
            <m:begChr m:val="{"/>
            <m:endChr m:val=""/>
            <m:ctrlPr>
              <w:rPr>
                <w:rFonts w:ascii="Cambria Math" w:hAnsi="Cambria Math"/>
                <w:i/>
                <w:sz w:val="20"/>
                <w:szCs w:val="22"/>
              </w:rPr>
            </m:ctrlPr>
          </m:dPr>
          <m:e>
            <m:m>
              <m:mPr>
                <m:mcs>
                  <m:mc>
                    <m:mcPr>
                      <m:count m:val="1"/>
                      <m:mcJc m:val="center"/>
                    </m:mcPr>
                  </m:mc>
                </m:mcs>
                <m:ctrlPr>
                  <w:rPr>
                    <w:rFonts w:ascii="Cambria Math" w:hAnsi="Cambria Math"/>
                    <w:i/>
                    <w:sz w:val="20"/>
                    <w:szCs w:val="22"/>
                  </w:rPr>
                </m:ctrlPr>
              </m:mPr>
              <m:mr>
                <m:e>
                  <m:r>
                    <w:rPr>
                      <w:rFonts w:ascii="Cambria Math" w:hAnsi="Cambria Math"/>
                      <w:sz w:val="20"/>
                      <w:szCs w:val="22"/>
                    </w:rPr>
                    <m:t>0,</m:t>
                  </m:r>
                </m:e>
              </m:mr>
              <m:mr>
                <m:e>
                  <m:r>
                    <w:rPr>
                      <w:rFonts w:ascii="Cambria Math" w:hAnsi="Cambria Math"/>
                      <w:sz w:val="20"/>
                      <w:szCs w:val="22"/>
                    </w:rPr>
                    <m:t>ω+ϖ(A-</m:t>
                  </m:r>
                  <m:sSub>
                    <m:sSubPr>
                      <m:ctrlPr>
                        <w:rPr>
                          <w:rFonts w:ascii="Cambria Math" w:hAnsi="Cambria Math"/>
                          <w:i/>
                          <w:sz w:val="20"/>
                          <w:szCs w:val="22"/>
                        </w:rPr>
                      </m:ctrlPr>
                    </m:sSubPr>
                    <m:e>
                      <m:r>
                        <w:rPr>
                          <w:rFonts w:ascii="Cambria Math" w:hAnsi="Cambria Math"/>
                          <w:sz w:val="20"/>
                          <w:szCs w:val="22"/>
                        </w:rPr>
                        <m:t>A</m:t>
                      </m:r>
                    </m:e>
                    <m:sub>
                      <m:r>
                        <w:rPr>
                          <w:rFonts w:ascii="Cambria Math" w:hAnsi="Cambria Math"/>
                          <w:sz w:val="20"/>
                          <w:szCs w:val="22"/>
                        </w:rPr>
                        <m:t>min</m:t>
                      </m:r>
                    </m:sub>
                  </m:sSub>
                </m:e>
              </m:mr>
            </m:m>
            <m:r>
              <w:rPr>
                <w:rFonts w:ascii="Cambria Math" w:hAnsi="Cambria Math"/>
                <w:sz w:val="20"/>
                <w:szCs w:val="22"/>
              </w:rPr>
              <m:t>{</m:t>
            </m:r>
            <m:m>
              <m:mPr>
                <m:mcs>
                  <m:mc>
                    <m:mcPr>
                      <m:count m:val="1"/>
                      <m:mcJc m:val="center"/>
                    </m:mcPr>
                  </m:mc>
                </m:mcs>
                <m:ctrlPr>
                  <w:rPr>
                    <w:rFonts w:ascii="Cambria Math" w:hAnsi="Cambria Math"/>
                    <w:i/>
                    <w:sz w:val="20"/>
                    <w:szCs w:val="22"/>
                  </w:rPr>
                </m:ctrlPr>
              </m:mPr>
              <m:mr>
                <m:e>
                  <m:r>
                    <w:rPr>
                      <w:rFonts w:ascii="Cambria Math" w:hAnsi="Cambria Math"/>
                      <w:sz w:val="20"/>
                      <w:szCs w:val="22"/>
                    </w:rPr>
                    <m:t>A&lt;</m:t>
                  </m:r>
                  <m:sSub>
                    <m:sSubPr>
                      <m:ctrlPr>
                        <w:rPr>
                          <w:rFonts w:ascii="Cambria Math" w:hAnsi="Cambria Math"/>
                          <w:i/>
                          <w:sz w:val="20"/>
                          <w:szCs w:val="22"/>
                        </w:rPr>
                      </m:ctrlPr>
                    </m:sSubPr>
                    <m:e>
                      <m:r>
                        <w:rPr>
                          <w:rFonts w:ascii="Cambria Math" w:hAnsi="Cambria Math"/>
                          <w:sz w:val="20"/>
                          <w:szCs w:val="22"/>
                        </w:rPr>
                        <m:t>A</m:t>
                      </m:r>
                    </m:e>
                    <m:sub>
                      <m:r>
                        <w:rPr>
                          <w:rFonts w:ascii="Cambria Math" w:hAnsi="Cambria Math"/>
                          <w:sz w:val="20"/>
                          <w:szCs w:val="22"/>
                        </w:rPr>
                        <m:t>min</m:t>
                      </m:r>
                    </m:sub>
                  </m:sSub>
                </m:e>
              </m:mr>
              <m:mr>
                <m:e>
                  <m:r>
                    <w:rPr>
                      <w:rFonts w:ascii="Cambria Math" w:hAnsi="Cambria Math"/>
                      <w:sz w:val="20"/>
                      <w:szCs w:val="22"/>
                    </w:rPr>
                    <m:t>A≥</m:t>
                  </m:r>
                  <m:sSub>
                    <m:sSubPr>
                      <m:ctrlPr>
                        <w:rPr>
                          <w:rFonts w:ascii="Cambria Math" w:hAnsi="Cambria Math"/>
                          <w:i/>
                          <w:sz w:val="20"/>
                          <w:szCs w:val="22"/>
                        </w:rPr>
                      </m:ctrlPr>
                    </m:sSubPr>
                    <m:e>
                      <m:r>
                        <w:rPr>
                          <w:rFonts w:ascii="Cambria Math" w:hAnsi="Cambria Math"/>
                          <w:sz w:val="20"/>
                          <w:szCs w:val="22"/>
                        </w:rPr>
                        <m:t>A</m:t>
                      </m:r>
                    </m:e>
                    <m:sub>
                      <m:r>
                        <w:rPr>
                          <w:rFonts w:ascii="Cambria Math" w:hAnsi="Cambria Math"/>
                          <w:sz w:val="20"/>
                          <w:szCs w:val="22"/>
                        </w:rPr>
                        <m:t>min</m:t>
                      </m:r>
                    </m:sub>
                  </m:sSub>
                </m:e>
              </m:mr>
            </m:m>
          </m:e>
        </m:d>
      </m:oMath>
      <w:r>
        <w:rPr>
          <w:rFonts w:ascii="Cambria Math" w:hAnsi="Cambria Math"/>
          <w:sz w:val="20"/>
          <w:szCs w:val="22"/>
        </w:rPr>
        <w:t xml:space="preserve"> </w:t>
      </w:r>
      <w:r>
        <w:rPr>
          <w:rFonts w:ascii="Cambria Math" w:hAnsi="Cambria Math"/>
          <w:sz w:val="20"/>
          <w:szCs w:val="22"/>
        </w:rPr>
        <w:tab/>
        <w:t>(30)</w:t>
      </w:r>
    </w:p>
    <w:p w14:paraId="7A5A238A"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In the formula (30), </w:t>
      </w:r>
      <m:oMath>
        <m:r>
          <w:rPr>
            <w:rFonts w:ascii="Cambria Math" w:hAnsi="Cambria Math"/>
            <w:sz w:val="20"/>
            <w:szCs w:val="20"/>
          </w:rPr>
          <m:t>ω</m:t>
        </m:r>
      </m:oMath>
      <w:r>
        <w:rPr>
          <w:rFonts w:ascii="Times New Roman" w:hAnsi="Times New Roman" w:hint="eastAsia"/>
          <w:sz w:val="20"/>
          <w:szCs w:val="20"/>
        </w:rPr>
        <w:t xml:space="preserve">represents the fixed revenue from the performance warranty, and </w:t>
      </w:r>
      <m:oMath>
        <m:r>
          <w:rPr>
            <w:rFonts w:ascii="Cambria Math" w:hAnsi="Cambria Math"/>
            <w:sz w:val="20"/>
            <w:szCs w:val="20"/>
          </w:rPr>
          <m:t>ϖ</m:t>
        </m:r>
      </m:oMath>
      <w:r>
        <w:rPr>
          <w:rFonts w:ascii="Times New Roman" w:hAnsi="Times New Roman" w:hint="eastAsia"/>
          <w:sz w:val="20"/>
          <w:szCs w:val="20"/>
        </w:rPr>
        <w:t xml:space="preserve"> (A-Amin) represents the additional reward revenue based on the performance results. If A &lt; Amin, the manufacturer will not receive any additional revenue; if A</w:t>
      </w:r>
      <w:r>
        <w:rPr>
          <w:rFonts w:ascii="Times New Roman" w:hAnsi="Times New Roman"/>
          <w:sz w:val="20"/>
          <w:szCs w:val="20"/>
        </w:rPr>
        <w:t>≥</w:t>
      </w:r>
      <w:r>
        <w:rPr>
          <w:rFonts w:ascii="Times New Roman" w:hAnsi="Times New Roman" w:hint="eastAsia"/>
          <w:sz w:val="20"/>
          <w:szCs w:val="20"/>
        </w:rPr>
        <w:t>Amin, the manufacturer will receive both the fixed revenue and the reward revenue. The performance warranty decision optimization model, which aims to maximize the manufacturer's warranty profit, can be expressed as:</w:t>
      </w:r>
    </w:p>
    <w:tbl>
      <w:tblPr>
        <w:tblStyle w:val="Tabela-Siatka"/>
        <w:tblW w:w="5000" w:type="pct"/>
        <w:tblLook w:val="04A0" w:firstRow="1" w:lastRow="0" w:firstColumn="1" w:lastColumn="0" w:noHBand="0" w:noVBand="1"/>
      </w:tblPr>
      <w:tblGrid>
        <w:gridCol w:w="4496"/>
        <w:gridCol w:w="607"/>
      </w:tblGrid>
      <w:tr w:rsidR="00097C63" w14:paraId="4961E617" w14:textId="77777777">
        <w:tc>
          <w:tcPr>
            <w:tcW w:w="4405" w:type="pct"/>
            <w:tcBorders>
              <w:top w:val="nil"/>
              <w:left w:val="nil"/>
              <w:bottom w:val="nil"/>
              <w:right w:val="nil"/>
            </w:tcBorders>
            <w:vAlign w:val="center"/>
          </w:tcPr>
          <w:p w14:paraId="3B56CB6C" w14:textId="77777777" w:rsidR="00097C63" w:rsidRDefault="00FB6D14">
            <m:oMathPara>
              <m:oMath>
                <m:func>
                  <m:funcPr>
                    <m:ctrlPr>
                      <w:rPr>
                        <w:rFonts w:ascii="Cambria Math" w:hAnsi="Cambria Math"/>
                        <w:i/>
                      </w:rPr>
                    </m:ctrlPr>
                  </m:funcPr>
                  <m:fName>
                    <m:r>
                      <w:rPr>
                        <w:rFonts w:ascii="Cambria Math" w:hAnsi="Cambria Math"/>
                      </w:rPr>
                      <m:t>max</m:t>
                    </m:r>
                  </m:fName>
                  <m:e>
                    <m:r>
                      <w:rPr>
                        <w:rFonts w:ascii="Cambria Math" w:hAnsi="Cambria Math"/>
                      </w:rPr>
                      <m:t>E</m:t>
                    </m:r>
                  </m:e>
                </m:func>
                <m:r>
                  <w:rPr>
                    <w:rFonts w:ascii="Cambria Math" w:hAnsi="Cambria Math"/>
                  </w:rPr>
                  <m:t>P(</m:t>
                </m:r>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,D,</m:t>
                </m:r>
                <m:sSub>
                  <m:sSubPr>
                    <m:ctrlPr>
                      <w:rPr>
                        <w:rFonts w:ascii="Cambria Math" w:hAnsi="Cambria Math"/>
                        <w:i/>
                      </w:rPr>
                    </m:ctrlPr>
                  </m:sSubPr>
                  <m:e>
                    <m:r>
                      <w:rPr>
                        <w:rFonts w:ascii="Cambria Math" w:hAnsi="Cambria Math"/>
                      </w:rPr>
                      <m:t>h</m:t>
                    </m:r>
                  </m:e>
                  <m:sub>
                    <m:r>
                      <w:rPr>
                        <w:rFonts w:ascii="Cambria Math" w:hAnsi="Cambria Math"/>
                      </w:rPr>
                      <m:t>p</m:t>
                    </m:r>
                  </m:sub>
                </m:sSub>
                <m:r>
                  <w:rPr>
                    <w:rFonts w:ascii="Cambria Math" w:hAnsi="Cambria Math"/>
                  </w:rPr>
                  <m:t>)=EI-EC</m:t>
                </m:r>
                <m:r>
                  <m:rPr>
                    <m:sty m:val="p"/>
                  </m:rPr>
                  <w:rPr>
                    <w:rFonts w:ascii="Cambria Math" w:hAnsi="Cambria Math"/>
                  </w:rPr>
                  <w:br/>
                </m:r>
              </m:oMath>
              <m:oMath>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*,D*,</m:t>
                </m:r>
                <m:sSub>
                  <m:sSubPr>
                    <m:ctrlPr>
                      <w:rPr>
                        <w:rFonts w:ascii="Cambria Math" w:hAnsi="Cambria Math"/>
                        <w:i/>
                      </w:rPr>
                    </m:ctrlPr>
                  </m:sSubPr>
                  <m:e>
                    <m:r>
                      <w:rPr>
                        <w:rFonts w:ascii="Cambria Math" w:hAnsi="Cambria Math"/>
                      </w:rPr>
                      <m:t>h</m:t>
                    </m:r>
                  </m:e>
                  <m:sub>
                    <m:r>
                      <w:rPr>
                        <w:rFonts w:ascii="Cambria Math" w:hAnsi="Cambria Math"/>
                      </w:rPr>
                      <m:t>p</m:t>
                    </m:r>
                  </m:sub>
                </m:sSub>
                <m:r>
                  <w:rPr>
                    <w:rFonts w:ascii="Cambria Math" w:hAnsi="Cambria Math"/>
                  </w:rPr>
                  <m:t>*)=</m:t>
                </m:r>
                <m:func>
                  <m:funcPr>
                    <m:ctrlPr>
                      <w:rPr>
                        <w:rFonts w:ascii="Cambria Math" w:hAnsi="Cambria Math"/>
                        <w:i/>
                      </w:rPr>
                    </m:ctrlPr>
                  </m:funcPr>
                  <m:fName>
                    <m:r>
                      <w:rPr>
                        <w:rFonts w:ascii="Cambria Math" w:hAnsi="Cambria Math"/>
                      </w:rPr>
                      <m:t>argmax</m:t>
                    </m:r>
                  </m:fName>
                  <m:e>
                    <m:r>
                      <w:rPr>
                        <w:rFonts w:ascii="Cambria Math" w:hAnsi="Cambria Math"/>
                      </w:rPr>
                      <m:t>E</m:t>
                    </m:r>
                  </m:e>
                </m:func>
                <m:r>
                  <w:rPr>
                    <w:rFonts w:ascii="Cambria Math" w:hAnsi="Cambria Math"/>
                  </w:rPr>
                  <m:t>P</m:t>
                </m:r>
                <m:r>
                  <m:rPr>
                    <m:sty m:val="p"/>
                  </m:rPr>
                  <w:rPr>
                    <w:rFonts w:ascii="Cambria Math" w:hAnsi="Cambria Math"/>
                  </w:rPr>
                  <w:br/>
                </m:r>
              </m:oMath>
              <m:oMath>
                <m:r>
                  <w:rPr>
                    <w:rFonts w:ascii="Cambria Math" w:hAnsi="Cambria Math"/>
                  </w:rPr>
                  <m:t>s.t.​​​​</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&amp;​0&lt;D&lt;</m:t>
                        </m:r>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&lt;</m:t>
                        </m:r>
                        <m:sSub>
                          <m:sSubPr>
                            <m:ctrlPr>
                              <w:rPr>
                                <w:rFonts w:ascii="Cambria Math" w:hAnsi="Cambria Math"/>
                                <w:i/>
                              </w:rPr>
                            </m:ctrlPr>
                          </m:sSubPr>
                          <m:e>
                            <m:r>
                              <w:rPr>
                                <w:rFonts w:ascii="Cambria Math" w:hAnsi="Cambria Math"/>
                              </w:rPr>
                              <m:t>D</m:t>
                            </m:r>
                          </m:e>
                          <m:sub>
                            <m:r>
                              <w:rPr>
                                <w:rFonts w:ascii="Cambria Math" w:hAnsi="Cambria Math"/>
                              </w:rPr>
                              <m:t>max</m:t>
                            </m:r>
                          </m:sub>
                        </m:sSub>
                      </m:e>
                      <m:e>
                        <m:r>
                          <w:rPr>
                            <w:rFonts w:ascii="Cambria Math" w:hAnsi="Cambria Math"/>
                          </w:rPr>
                          <m:t>&amp;0&lt;</m:t>
                        </m:r>
                        <m:sSub>
                          <m:sSubPr>
                            <m:ctrlPr>
                              <w:rPr>
                                <w:rFonts w:ascii="Cambria Math" w:hAnsi="Cambria Math"/>
                                <w:i/>
                              </w:rPr>
                            </m:ctrlPr>
                          </m:sSubPr>
                          <m:e>
                            <m:r>
                              <w:rPr>
                                <w:rFonts w:ascii="Cambria Math" w:hAnsi="Cambria Math"/>
                              </w:rPr>
                              <m:t>h</m:t>
                            </m:r>
                          </m:e>
                          <m:sub>
                            <m:r>
                              <w:rPr>
                                <w:rFonts w:ascii="Cambria Math" w:hAnsi="Cambria Math"/>
                              </w:rPr>
                              <m:t>p</m:t>
                            </m:r>
                          </m:sub>
                        </m:sSub>
                        <m:r>
                          <w:rPr>
                            <w:rFonts w:ascii="Cambria Math" w:hAnsi="Cambria Math"/>
                          </w:rPr>
                          <m:t>&lt;</m:t>
                        </m:r>
                        <m:sSub>
                          <m:sSubPr>
                            <m:ctrlPr>
                              <w:rPr>
                                <w:rFonts w:ascii="Cambria Math" w:hAnsi="Cambria Math"/>
                                <w:i/>
                              </w:rPr>
                            </m:ctrlPr>
                          </m:sSubPr>
                          <m:e>
                            <m:r>
                              <w:rPr>
                                <w:rFonts w:ascii="Cambria Math" w:hAnsi="Cambria Math"/>
                              </w:rPr>
                              <m:t>h</m:t>
                            </m:r>
                          </m:e>
                          <m:sub>
                            <m:r>
                              <w:rPr>
                                <w:rFonts w:ascii="Cambria Math" w:hAnsi="Cambria Math"/>
                              </w:rPr>
                              <m:t>f</m:t>
                            </m:r>
                          </m:sub>
                        </m:sSub>
                      </m:e>
                    </m:eqArr>
                  </m:e>
                </m:d>
              </m:oMath>
            </m:oMathPara>
          </w:p>
        </w:tc>
        <w:tc>
          <w:tcPr>
            <w:tcW w:w="595" w:type="pct"/>
            <w:tcBorders>
              <w:top w:val="nil"/>
              <w:left w:val="nil"/>
              <w:bottom w:val="nil"/>
              <w:right w:val="nil"/>
            </w:tcBorders>
            <w:vAlign w:val="center"/>
          </w:tcPr>
          <w:p w14:paraId="0BC6C5E7" w14:textId="77777777" w:rsidR="00097C63" w:rsidRDefault="00097C63">
            <w:pPr>
              <w:jc w:val="right"/>
              <w:rPr>
                <w:rFonts w:ascii="Cambria Math" w:hAnsi="Cambria Math"/>
                <w:sz w:val="20"/>
                <w:szCs w:val="22"/>
              </w:rPr>
            </w:pPr>
          </w:p>
          <w:p w14:paraId="63A2F653" w14:textId="77777777" w:rsidR="00097C63" w:rsidRDefault="00FB6D14">
            <w:pPr>
              <w:ind w:right="-110"/>
              <w:jc w:val="right"/>
              <w:rPr>
                <w:rFonts w:ascii="Cambria Math" w:hAnsi="Cambria Math"/>
                <w:sz w:val="20"/>
                <w:szCs w:val="22"/>
              </w:rPr>
            </w:pPr>
            <w:r>
              <w:rPr>
                <w:rFonts w:ascii="Cambria Math" w:hAnsi="Cambria Math"/>
                <w:sz w:val="20"/>
                <w:szCs w:val="22"/>
              </w:rPr>
              <w:t xml:space="preserve">(31)  </w:t>
            </w:r>
          </w:p>
          <w:p w14:paraId="7DD0ABF6" w14:textId="77777777" w:rsidR="00097C63" w:rsidRDefault="00097C63">
            <w:pPr>
              <w:jc w:val="right"/>
              <w:rPr>
                <w:rFonts w:ascii="Cambria Math" w:hAnsi="Cambria Math"/>
                <w:sz w:val="20"/>
                <w:szCs w:val="22"/>
              </w:rPr>
            </w:pPr>
          </w:p>
        </w:tc>
      </w:tr>
    </w:tbl>
    <w:p w14:paraId="6563A971"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By solving the optimization model in formula (31), the optimal first inspection interval, subsequent inspection intervals, </w:t>
      </w:r>
      <w:r>
        <w:rPr>
          <w:rFonts w:ascii="Times New Roman" w:hAnsi="Times New Roman" w:hint="eastAsia"/>
          <w:sz w:val="20"/>
          <w:szCs w:val="20"/>
        </w:rPr>
        <w:lastRenderedPageBreak/>
        <w:t>and the PM threshold can be determined, along with the corresponding maximum manufacturer warranty profit. The market demand function for the product can be expressed as:</w:t>
      </w:r>
    </w:p>
    <w:p w14:paraId="44F2A3AF" w14:textId="77777777" w:rsidR="00097C63" w:rsidRDefault="00FB6D14">
      <w:pPr>
        <w:jc w:val="right"/>
        <w:rPr>
          <w:rFonts w:ascii="Cambria Math" w:hAnsi="Cambria Math"/>
          <w:sz w:val="20"/>
          <w:szCs w:val="22"/>
        </w:rPr>
      </w:pPr>
      <m:oMath>
        <m:r>
          <w:rPr>
            <w:rFonts w:ascii="Cambria Math" w:hAnsi="Cambria Math"/>
            <w:sz w:val="20"/>
            <w:szCs w:val="22"/>
          </w:rPr>
          <m:t>R(W,</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1</m:t>
            </m:r>
          </m:sub>
        </m:sSub>
        <m:sSup>
          <m:sSupPr>
            <m:ctrlPr>
              <w:rPr>
                <w:rFonts w:ascii="Cambria Math" w:hAnsi="Cambria Math"/>
                <w:i/>
                <w:sz w:val="20"/>
                <w:szCs w:val="22"/>
              </w:rPr>
            </m:ctrlPr>
          </m:sSupPr>
          <m:e>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e>
          <m: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1</m:t>
                </m:r>
              </m:sub>
            </m:sSub>
          </m:sup>
        </m:s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2</m:t>
            </m:r>
          </m:sub>
        </m:sSub>
        <m:r>
          <w:rPr>
            <w:rFonts w:ascii="Cambria Math" w:hAnsi="Cambria Math"/>
            <w:sz w:val="20"/>
            <w:szCs w:val="22"/>
          </w:rPr>
          <m:t>+W</m:t>
        </m:r>
        <m:sSup>
          <m:sSupPr>
            <m:ctrlPr>
              <w:rPr>
                <w:rFonts w:ascii="Cambria Math" w:hAnsi="Cambria Math"/>
                <w:i/>
                <w:sz w:val="20"/>
                <w:szCs w:val="22"/>
              </w:rPr>
            </m:ctrlPr>
          </m:sSupPr>
          <m:e>
            <m:r>
              <w:rPr>
                <w:rFonts w:ascii="Cambria Math" w:hAnsi="Cambria Math"/>
                <w:sz w:val="20"/>
                <w:szCs w:val="22"/>
              </w:rPr>
              <m:t>)</m:t>
            </m:r>
          </m:e>
          <m:sup>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2</m:t>
                </m:r>
              </m:sub>
            </m:sSub>
          </m:sup>
        </m:sSup>
        <m:r>
          <w:rPr>
            <w:rFonts w:ascii="Cambria Math" w:hAnsi="Cambria Math"/>
            <w:sz w:val="20"/>
            <w:szCs w:val="22"/>
          </w:rPr>
          <m:t>(1+</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3</m:t>
            </m:r>
          </m:sub>
        </m:sSub>
        <m:f>
          <m:fPr>
            <m:ctrlPr>
              <w:rPr>
                <w:rFonts w:ascii="Cambria Math" w:hAnsi="Cambria Math"/>
                <w:i/>
                <w:sz w:val="20"/>
                <w:szCs w:val="22"/>
              </w:rPr>
            </m:ctrlPr>
          </m:fPr>
          <m:num>
            <m:sSub>
              <m:sSubPr>
                <m:ctrlPr>
                  <w:rPr>
                    <w:rFonts w:ascii="Cambria Math" w:hAnsi="Cambria Math"/>
                    <w:i/>
                    <w:sz w:val="20"/>
                    <w:szCs w:val="22"/>
                  </w:rPr>
                </m:ctrlPr>
              </m:sSubPr>
              <m:e>
                <m:r>
                  <w:rPr>
                    <w:rFonts w:ascii="Cambria Math" w:hAnsi="Cambria Math"/>
                    <w:sz w:val="20"/>
                    <w:szCs w:val="22"/>
                  </w:rPr>
                  <m:t>b</m:t>
                </m:r>
              </m:e>
              <m:sub>
                <m:r>
                  <w:rPr>
                    <w:rFonts w:ascii="Cambria Math" w:hAnsi="Cambria Math"/>
                    <w:sz w:val="20"/>
                    <w:szCs w:val="22"/>
                  </w:rPr>
                  <m:t>f</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b</m:t>
                </m:r>
              </m:e>
              <m:sub>
                <m:r>
                  <w:rPr>
                    <w:rFonts w:ascii="Cambria Math" w:hAnsi="Cambria Math"/>
                    <w:sz w:val="20"/>
                    <w:szCs w:val="22"/>
                  </w:rPr>
                  <m:t>p</m:t>
                </m:r>
              </m:sub>
            </m:sSub>
          </m:num>
          <m:den>
            <m:sSub>
              <m:sSubPr>
                <m:ctrlPr>
                  <w:rPr>
                    <w:rFonts w:ascii="Cambria Math" w:hAnsi="Cambria Math"/>
                    <w:i/>
                    <w:sz w:val="20"/>
                    <w:szCs w:val="22"/>
                  </w:rPr>
                </m:ctrlPr>
              </m:sSubPr>
              <m:e>
                <m:r>
                  <w:rPr>
                    <w:rFonts w:ascii="Cambria Math" w:hAnsi="Cambria Math"/>
                    <w:sz w:val="20"/>
                    <w:szCs w:val="22"/>
                  </w:rPr>
                  <m:t>b</m:t>
                </m:r>
              </m:e>
              <m:sub>
                <m:r>
                  <w:rPr>
                    <w:rFonts w:ascii="Cambria Math" w:hAnsi="Cambria Math"/>
                    <w:sz w:val="20"/>
                    <w:szCs w:val="22"/>
                  </w:rPr>
                  <m:t>f</m:t>
                </m:r>
              </m:sub>
            </m:sSub>
          </m:den>
        </m:f>
        <m:sSup>
          <m:sSupPr>
            <m:ctrlPr>
              <w:rPr>
                <w:rFonts w:ascii="Cambria Math" w:hAnsi="Cambria Math"/>
                <w:i/>
                <w:sz w:val="20"/>
                <w:szCs w:val="22"/>
              </w:rPr>
            </m:ctrlPr>
          </m:sSupPr>
          <m:e>
            <m:r>
              <w:rPr>
                <w:rFonts w:ascii="Cambria Math" w:hAnsi="Cambria Math"/>
                <w:sz w:val="20"/>
                <w:szCs w:val="22"/>
              </w:rPr>
              <m:t>)</m:t>
            </m:r>
          </m:e>
          <m:sup>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3</m:t>
                </m:r>
              </m:sub>
            </m:sSub>
          </m:sup>
        </m:sSup>
      </m:oMath>
      <w:r>
        <w:rPr>
          <w:rFonts w:ascii="Cambria Math" w:hAnsi="Cambria Math"/>
          <w:sz w:val="20"/>
          <w:szCs w:val="22"/>
        </w:rPr>
        <w:t xml:space="preserve"> (32)</w:t>
      </w:r>
    </w:p>
    <w:p w14:paraId="681A8031"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In the formula (32), </w:t>
      </w:r>
      <m:oMath>
        <m:sSub>
          <m:sSubPr>
            <m:ctrlPr>
              <w:rPr>
                <w:rFonts w:ascii="Cambria Math" w:hAnsi="Cambria Math"/>
                <w:sz w:val="20"/>
                <w:szCs w:val="20"/>
              </w:rPr>
            </m:ctrlPr>
          </m:sSubPr>
          <m:e>
            <m:r>
              <w:rPr>
                <w:rFonts w:ascii="Cambria Math" w:hAnsi="Cambria Math"/>
                <w:sz w:val="20"/>
                <w:szCs w:val="20"/>
              </w:rPr>
              <m:t>ϑ</m:t>
            </m:r>
          </m:e>
          <m:sub>
            <m:r>
              <m:rPr>
                <m:sty m:val="p"/>
              </m:rPr>
              <w:rPr>
                <w:rFonts w:ascii="Cambria Math" w:hAnsi="Cambria Math"/>
                <w:sz w:val="20"/>
                <w:szCs w:val="20"/>
              </w:rPr>
              <m:t>1</m:t>
            </m:r>
          </m:sub>
        </m:sSub>
      </m:oMath>
      <w:r>
        <w:rPr>
          <w:rFonts w:ascii="Times New Roman" w:hAnsi="Times New Roman" w:hint="eastAsia"/>
          <w:sz w:val="20"/>
          <w:szCs w:val="20"/>
        </w:rPr>
        <w:t xml:space="preserve"> and </w:t>
      </w:r>
      <m:oMath>
        <m:sSub>
          <m:sSubPr>
            <m:ctrlPr>
              <w:rPr>
                <w:rFonts w:ascii="Cambria Math" w:hAnsi="Cambria Math"/>
                <w:sz w:val="20"/>
                <w:szCs w:val="20"/>
              </w:rPr>
            </m:ctrlPr>
          </m:sSubPr>
          <m:e>
            <m:r>
              <w:rPr>
                <w:rFonts w:ascii="Cambria Math" w:hAnsi="Cambria Math"/>
                <w:sz w:val="20"/>
                <w:szCs w:val="20"/>
              </w:rPr>
              <m:t>ϑ</m:t>
            </m:r>
          </m:e>
          <m:sub>
            <m:r>
              <m:rPr>
                <m:sty m:val="p"/>
              </m:rPr>
              <w:rPr>
                <w:rFonts w:ascii="Cambria Math" w:hAnsi="Cambria Math"/>
                <w:sz w:val="20"/>
                <w:szCs w:val="20"/>
              </w:rPr>
              <m:t>3</m:t>
            </m:r>
          </m:sub>
        </m:sSub>
      </m:oMath>
      <w:r>
        <w:rPr>
          <w:rFonts w:ascii="Times New Roman" w:hAnsi="Times New Roman" w:hint="eastAsia"/>
          <w:sz w:val="20"/>
          <w:szCs w:val="20"/>
        </w:rPr>
        <w:t xml:space="preserve"> are amplitude factors, and </w:t>
      </w:r>
      <m:oMath>
        <m:sSub>
          <m:sSubPr>
            <m:ctrlPr>
              <w:rPr>
                <w:rFonts w:ascii="Cambria Math" w:hAnsi="Cambria Math"/>
                <w:sz w:val="20"/>
                <w:szCs w:val="20"/>
              </w:rPr>
            </m:ctrlPr>
          </m:sSubPr>
          <m:e>
            <m:r>
              <w:rPr>
                <w:rFonts w:ascii="Cambria Math" w:hAnsi="Cambria Math"/>
                <w:sz w:val="20"/>
                <w:szCs w:val="20"/>
              </w:rPr>
              <m:t>ϑ</m:t>
            </m:r>
          </m:e>
          <m:sub>
            <m:r>
              <m:rPr>
                <m:sty m:val="p"/>
              </m:rPr>
              <w:rPr>
                <w:rFonts w:ascii="Cambria Math" w:hAnsi="Cambria Math"/>
                <w:sz w:val="20"/>
                <w:szCs w:val="20"/>
              </w:rPr>
              <m:t>2</m:t>
            </m:r>
          </m:sub>
        </m:sSub>
      </m:oMath>
      <w:r>
        <w:rPr>
          <w:rFonts w:ascii="Times New Roman" w:hAnsi="Times New Roman" w:hint="eastAsia"/>
          <w:sz w:val="20"/>
          <w:szCs w:val="20"/>
        </w:rPr>
        <w:t xml:space="preserve"> is a constant. </w:t>
      </w:r>
      <m:oMath>
        <m:sSub>
          <m:sSubPr>
            <m:ctrlPr>
              <w:rPr>
                <w:rFonts w:ascii="Cambria Math" w:hAnsi="Cambria Math"/>
                <w:sz w:val="20"/>
                <w:szCs w:val="20"/>
              </w:rPr>
            </m:ctrlPr>
          </m:sSubPr>
          <m:e>
            <m:r>
              <w:rPr>
                <w:rFonts w:ascii="Cambria Math" w:hAnsi="Cambria Math"/>
                <w:sz w:val="20"/>
                <w:szCs w:val="20"/>
              </w:rPr>
              <m:t>ξ</m:t>
            </m:r>
          </m:e>
          <m:sub>
            <m:r>
              <m:rPr>
                <m:sty m:val="p"/>
              </m:rPr>
              <w:rPr>
                <w:rFonts w:ascii="Cambria Math" w:hAnsi="Cambria Math"/>
                <w:sz w:val="20"/>
                <w:szCs w:val="20"/>
              </w:rPr>
              <m:t>1</m:t>
            </m:r>
          </m:sub>
        </m:sSub>
      </m:oMath>
      <w:r>
        <w:rPr>
          <w:rFonts w:ascii="Times New Roman" w:hAnsi="Times New Roman" w:hint="eastAsia"/>
          <w:sz w:val="20"/>
          <w:szCs w:val="20"/>
        </w:rPr>
        <w:t xml:space="preserve">, </w:t>
      </w:r>
      <m:oMath>
        <m:sSub>
          <m:sSubPr>
            <m:ctrlPr>
              <w:rPr>
                <w:rFonts w:ascii="Cambria Math" w:hAnsi="Cambria Math"/>
                <w:sz w:val="20"/>
                <w:szCs w:val="20"/>
              </w:rPr>
            </m:ctrlPr>
          </m:sSubPr>
          <m:e>
            <m:r>
              <w:rPr>
                <w:rFonts w:ascii="Cambria Math" w:hAnsi="Cambria Math"/>
                <w:sz w:val="20"/>
                <w:szCs w:val="20"/>
              </w:rPr>
              <m:t>ξ</m:t>
            </m:r>
          </m:e>
          <m:sub>
            <m:r>
              <m:rPr>
                <m:sty m:val="p"/>
              </m:rPr>
              <w:rPr>
                <w:rFonts w:ascii="Cambria Math" w:hAnsi="Cambria Math"/>
                <w:sz w:val="20"/>
                <w:szCs w:val="20"/>
              </w:rPr>
              <m:t>2</m:t>
            </m:r>
          </m:sub>
        </m:sSub>
      </m:oMath>
      <w:r>
        <w:rPr>
          <w:rFonts w:ascii="Times New Roman" w:hAnsi="Times New Roman" w:hint="eastAsia"/>
          <w:sz w:val="20"/>
          <w:szCs w:val="20"/>
        </w:rPr>
        <w:t xml:space="preserve"> and </w:t>
      </w:r>
      <m:oMath>
        <m:sSub>
          <m:sSubPr>
            <m:ctrlPr>
              <w:rPr>
                <w:rFonts w:ascii="Cambria Math" w:hAnsi="Cambria Math"/>
                <w:sz w:val="20"/>
                <w:szCs w:val="20"/>
              </w:rPr>
            </m:ctrlPr>
          </m:sSubPr>
          <m:e>
            <m:r>
              <w:rPr>
                <w:rFonts w:ascii="Cambria Math" w:hAnsi="Cambria Math"/>
                <w:sz w:val="20"/>
                <w:szCs w:val="20"/>
              </w:rPr>
              <m:t>ξ</m:t>
            </m:r>
          </m:e>
          <m:sub>
            <m:r>
              <m:rPr>
                <m:sty m:val="p"/>
              </m:rPr>
              <w:rPr>
                <w:rFonts w:ascii="Cambria Math" w:hAnsi="Cambria Math"/>
                <w:sz w:val="20"/>
                <w:szCs w:val="20"/>
              </w:rPr>
              <m:t>3</m:t>
            </m:r>
          </m:sub>
        </m:sSub>
      </m:oMath>
      <w:r>
        <w:rPr>
          <w:rFonts w:ascii="Times New Roman" w:hAnsi="Times New Roman" w:hint="eastAsia"/>
          <w:sz w:val="20"/>
          <w:szCs w:val="20"/>
        </w:rPr>
        <w:t xml:space="preserve"> are elasticity coefficients. For the manufacturer, the sales profit of the product is given by:</w:t>
      </w:r>
    </w:p>
    <w:p w14:paraId="007DC47B" w14:textId="77777777" w:rsidR="00097C63" w:rsidRDefault="00097C63">
      <w:pPr>
        <w:sectPr w:rsidR="00097C63">
          <w:type w:val="continuous"/>
          <w:pgSz w:w="11906" w:h="16838"/>
          <w:pgMar w:top="1219" w:right="567" w:bottom="1219" w:left="567" w:header="765" w:footer="567" w:gutter="0"/>
          <w:cols w:num="2" w:space="566"/>
          <w:docGrid w:type="linesAndChars" w:linePitch="313" w:charSpace="139"/>
        </w:sectPr>
      </w:pPr>
    </w:p>
    <w:p w14:paraId="2CBEFE77" w14:textId="77777777" w:rsidR="00097C63" w:rsidRDefault="00FB6D14">
      <w:pPr>
        <w:jc w:val="right"/>
        <w:rPr>
          <w:rFonts w:ascii="Cambria Math" w:hAnsi="Cambria Math"/>
          <w:sz w:val="20"/>
          <w:szCs w:val="22"/>
        </w:rPr>
      </w:pPr>
      <m:oMath>
        <m:r>
          <w:rPr>
            <w:rFonts w:ascii="Cambria Math" w:hAnsi="Cambria Math"/>
            <w:sz w:val="20"/>
            <w:szCs w:val="22"/>
          </w:rPr>
          <m:t>G</m:t>
        </m:r>
        <m:d>
          <m:dPr>
            <m:ctrlPr>
              <w:rPr>
                <w:rFonts w:ascii="Cambria Math" w:hAnsi="Cambria Math"/>
                <w:i/>
                <w:sz w:val="20"/>
                <w:szCs w:val="22"/>
              </w:rPr>
            </m:ctrlPr>
          </m:dPr>
          <m:e>
            <m:r>
              <w:rPr>
                <w:rFonts w:ascii="Cambria Math" w:hAnsi="Cambria Math"/>
                <w:sz w:val="20"/>
                <w:szCs w:val="22"/>
              </w:rPr>
              <m:t>W,</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e>
        </m:d>
        <m:r>
          <w:rPr>
            <w:rFonts w:ascii="Cambria Math" w:hAnsi="Cambria Math"/>
            <w:sz w:val="20"/>
            <w:szCs w:val="22"/>
          </w:rPr>
          <m:t>=R</m:t>
        </m:r>
        <m:d>
          <m:dPr>
            <m:ctrlPr>
              <w:rPr>
                <w:rFonts w:ascii="Cambria Math" w:hAnsi="Cambria Math"/>
                <w:i/>
                <w:sz w:val="20"/>
                <w:szCs w:val="22"/>
              </w:rPr>
            </m:ctrlPr>
          </m:dPr>
          <m:e>
            <m:r>
              <w:rPr>
                <w:rFonts w:ascii="Cambria Math" w:hAnsi="Cambria Math"/>
                <w:sz w:val="20"/>
                <w:szCs w:val="22"/>
              </w:rPr>
              <m:t>W,</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e>
        </m:d>
        <m:r>
          <w:rPr>
            <w:rFonts w:ascii="Cambria Math" w:hAnsi="Cambria Math"/>
            <w:sz w:val="20"/>
            <w:szCs w:val="22"/>
          </w:rPr>
          <m:t>⋅</m:t>
        </m:r>
        <m:d>
          <m:dPr>
            <m:ctrlPr>
              <w:rPr>
                <w:rFonts w:ascii="Cambria Math" w:hAnsi="Cambria Math"/>
                <w:i/>
                <w:sz w:val="20"/>
                <w:szCs w:val="22"/>
              </w:rPr>
            </m:ctrlPr>
          </m:dPr>
          <m:e>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r>
              <w:rPr>
                <w:rFonts w:ascii="Cambria Math" w:hAnsi="Cambria Math"/>
                <w:sz w:val="20"/>
                <w:szCs w:val="22"/>
              </w:rPr>
              <m:t>-Cs-EC</m:t>
            </m:r>
          </m:e>
        </m:d>
        <m:r>
          <w:rPr>
            <w:rFonts w:ascii="Cambria Math" w:hAnsi="Cambria Math"/>
            <w:sz w:val="20"/>
            <w:szCs w:val="22"/>
          </w:rPr>
          <m:t xml:space="preserve"> =[</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1</m:t>
            </m:r>
          </m:sub>
        </m:sSub>
        <m:sSup>
          <m:sSupPr>
            <m:ctrlPr>
              <w:rPr>
                <w:rFonts w:ascii="Cambria Math" w:hAnsi="Cambria Math"/>
                <w:i/>
                <w:sz w:val="20"/>
                <w:szCs w:val="22"/>
              </w:rPr>
            </m:ctrlPr>
          </m:sSupPr>
          <m:e>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e>
          <m: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1</m:t>
                </m:r>
              </m:sub>
            </m:sSub>
          </m:sup>
        </m:s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2</m:t>
            </m:r>
          </m:sub>
        </m:sSub>
        <m:r>
          <w:rPr>
            <w:rFonts w:ascii="Cambria Math" w:hAnsi="Cambria Math"/>
            <w:sz w:val="20"/>
            <w:szCs w:val="22"/>
          </w:rPr>
          <m:t>+W</m:t>
        </m:r>
        <m:sSup>
          <m:sSupPr>
            <m:ctrlPr>
              <w:rPr>
                <w:rFonts w:ascii="Cambria Math" w:hAnsi="Cambria Math"/>
                <w:i/>
                <w:sz w:val="20"/>
                <w:szCs w:val="22"/>
              </w:rPr>
            </m:ctrlPr>
          </m:sSupPr>
          <m:e>
            <m:r>
              <w:rPr>
                <w:rFonts w:ascii="Cambria Math" w:hAnsi="Cambria Math"/>
                <w:sz w:val="20"/>
                <w:szCs w:val="22"/>
              </w:rPr>
              <m:t>)</m:t>
            </m:r>
          </m:e>
          <m:sup>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2</m:t>
                </m:r>
              </m:sub>
            </m:sSub>
          </m:sup>
        </m:sSup>
        <m:r>
          <w:rPr>
            <w:rFonts w:ascii="Cambria Math" w:hAnsi="Cambria Math"/>
            <w:sz w:val="20"/>
            <w:szCs w:val="22"/>
          </w:rPr>
          <m:t>(1+</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3</m:t>
            </m:r>
          </m:sub>
        </m:sSub>
        <m:f>
          <m:fPr>
            <m:ctrlPr>
              <w:rPr>
                <w:rFonts w:ascii="Cambria Math" w:hAnsi="Cambria Math"/>
                <w:i/>
                <w:sz w:val="20"/>
                <w:szCs w:val="22"/>
              </w:rPr>
            </m:ctrlPr>
          </m:fPr>
          <m:num>
            <m:sSub>
              <m:sSubPr>
                <m:ctrlPr>
                  <w:rPr>
                    <w:rFonts w:ascii="Cambria Math" w:hAnsi="Cambria Math"/>
                    <w:i/>
                    <w:sz w:val="20"/>
                    <w:szCs w:val="22"/>
                  </w:rPr>
                </m:ctrlPr>
              </m:sSubPr>
              <m:e>
                <m:r>
                  <w:rPr>
                    <w:rFonts w:ascii="Cambria Math" w:hAnsi="Cambria Math" w:cs="Cambria Math"/>
                    <w:sz w:val="20"/>
                    <w:szCs w:val="22"/>
                  </w:rPr>
                  <m:t>h</m:t>
                </m:r>
              </m:e>
              <m:sub>
                <m:r>
                  <w:rPr>
                    <w:rFonts w:ascii="Cambria Math" w:hAnsi="Cambria Math"/>
                    <w:sz w:val="20"/>
                    <w:szCs w:val="22"/>
                  </w:rPr>
                  <m:t>f</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cs="Cambria Math"/>
                    <w:sz w:val="20"/>
                    <w:szCs w:val="22"/>
                  </w:rPr>
                  <m:t>h</m:t>
                </m:r>
              </m:e>
              <m:sub>
                <m:r>
                  <w:rPr>
                    <w:rFonts w:ascii="Cambria Math" w:hAnsi="Cambria Math"/>
                    <w:sz w:val="20"/>
                    <w:szCs w:val="22"/>
                  </w:rPr>
                  <m:t>p</m:t>
                </m:r>
              </m:sub>
            </m:sSub>
          </m:num>
          <m:den>
            <m:sSub>
              <m:sSubPr>
                <m:ctrlPr>
                  <w:rPr>
                    <w:rFonts w:ascii="Cambria Math" w:hAnsi="Cambria Math"/>
                    <w:i/>
                    <w:sz w:val="20"/>
                    <w:szCs w:val="22"/>
                  </w:rPr>
                </m:ctrlPr>
              </m:sSubPr>
              <m:e>
                <m:r>
                  <w:rPr>
                    <w:rFonts w:ascii="Cambria Math" w:hAnsi="Cambria Math" w:cs="Cambria Math"/>
                    <w:sz w:val="20"/>
                    <w:szCs w:val="22"/>
                  </w:rPr>
                  <m:t>h</m:t>
                </m:r>
              </m:e>
              <m:sub>
                <m:r>
                  <w:rPr>
                    <w:rFonts w:ascii="Cambria Math" w:hAnsi="Cambria Math"/>
                    <w:sz w:val="20"/>
                    <w:szCs w:val="22"/>
                  </w:rPr>
                  <m:t>f</m:t>
                </m:r>
              </m:sub>
            </m:sSub>
          </m:den>
        </m:f>
        <m:sSup>
          <m:sSupPr>
            <m:ctrlPr>
              <w:rPr>
                <w:rFonts w:ascii="Cambria Math" w:hAnsi="Cambria Math"/>
                <w:i/>
                <w:sz w:val="20"/>
                <w:szCs w:val="22"/>
              </w:rPr>
            </m:ctrlPr>
          </m:sSupPr>
          <m:e>
            <m:r>
              <w:rPr>
                <w:rFonts w:ascii="Cambria Math" w:hAnsi="Cambria Math"/>
                <w:sz w:val="20"/>
                <w:szCs w:val="22"/>
              </w:rPr>
              <m:t>)</m:t>
            </m:r>
          </m:e>
          <m:sup>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3</m:t>
                </m:r>
              </m:sub>
            </m:sSub>
          </m:sup>
        </m:sSup>
        <m:r>
          <w:rPr>
            <w:rFonts w:ascii="Cambria Math" w:hAnsi="Cambria Math"/>
            <w:sz w:val="20"/>
            <w:szCs w:val="22"/>
          </w:rPr>
          <m:t>]</m:t>
        </m:r>
        <m:r>
          <w:rPr>
            <w:rFonts w:ascii="Cambria Math" w:hAnsi="Cambria Math" w:cs="Cambria Math"/>
            <w:sz w:val="20"/>
            <w:szCs w:val="22"/>
          </w:rPr>
          <m:t>⋅</m:t>
        </m:r>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r>
          <w:rPr>
            <w:rFonts w:ascii="Cambria Math" w:hAnsi="Cambria Math"/>
            <w:sz w:val="20"/>
            <w:szCs w:val="22"/>
          </w:rPr>
          <m:t>-Cs-EC)</m:t>
        </m:r>
      </m:oMath>
      <w:r>
        <w:rPr>
          <w:rFonts w:ascii="Cambria Math" w:hAnsi="Cambria Math"/>
          <w:sz w:val="20"/>
          <w:szCs w:val="22"/>
        </w:rPr>
        <w:t xml:space="preserve"> </w:t>
      </w:r>
      <w:r>
        <w:rPr>
          <w:rFonts w:ascii="Cambria Math" w:hAnsi="Cambria Math"/>
          <w:sz w:val="20"/>
          <w:szCs w:val="22"/>
        </w:rPr>
        <w:tab/>
        <w:t>(33)</w:t>
      </w:r>
    </w:p>
    <w:p w14:paraId="73E752B6" w14:textId="77777777" w:rsidR="00097C63" w:rsidRDefault="00097C63">
      <w:pPr>
        <w:sectPr w:rsidR="00097C63">
          <w:type w:val="continuous"/>
          <w:pgSz w:w="11906" w:h="16838"/>
          <w:pgMar w:top="1219" w:right="567" w:bottom="1219" w:left="567" w:header="765" w:footer="567" w:gutter="0"/>
          <w:cols w:space="566"/>
          <w:docGrid w:type="linesAndChars" w:linePitch="313" w:charSpace="139"/>
        </w:sectPr>
      </w:pPr>
    </w:p>
    <w:p w14:paraId="2C3A6426" w14:textId="77777777" w:rsidR="00097C63" w:rsidRDefault="00FB6D14">
      <w:pPr>
        <w:ind w:firstLine="284"/>
        <w:rPr>
          <w:rFonts w:ascii="Times New Roman" w:hAnsi="Times New Roman"/>
          <w:sz w:val="20"/>
          <w:szCs w:val="20"/>
        </w:rPr>
      </w:pPr>
      <w:r>
        <w:rPr>
          <w:rFonts w:ascii="Times New Roman" w:hAnsi="Times New Roman" w:hint="eastAsia"/>
          <w:sz w:val="20"/>
          <w:szCs w:val="20"/>
        </w:rPr>
        <w:t>In formula (33), Cs represents the production cost.</w:t>
      </w:r>
    </w:p>
    <w:p w14:paraId="5720C3FE" w14:textId="77777777" w:rsidR="00097C63" w:rsidRDefault="00FB6D14">
      <w:pPr>
        <w:ind w:firstLine="284"/>
        <w:rPr>
          <w:rFonts w:ascii="Times New Roman" w:hAnsi="Times New Roman"/>
          <w:sz w:val="20"/>
          <w:szCs w:val="20"/>
        </w:rPr>
      </w:pPr>
      <w:r>
        <w:rPr>
          <w:rFonts w:ascii="Times New Roman" w:hAnsi="Times New Roman" w:hint="eastAsia"/>
          <w:sz w:val="20"/>
          <w:szCs w:val="20"/>
        </w:rPr>
        <w:t>Proposition 1: Let W</w:t>
      </w:r>
      <w:r>
        <w:rPr>
          <w:rFonts w:ascii="Times New Roman" w:hAnsi="Times New Roman"/>
          <w:sz w:val="20"/>
          <w:szCs w:val="20"/>
        </w:rPr>
        <w:t>≥</w:t>
      </w:r>
      <w:r>
        <w:rPr>
          <w:rFonts w:ascii="Times New Roman" w:hAnsi="Times New Roman" w:hint="eastAsia"/>
          <w:sz w:val="20"/>
          <w:szCs w:val="20"/>
        </w:rPr>
        <w:t>0, hp</w:t>
      </w:r>
      <w:r>
        <w:rPr>
          <w:rFonts w:ascii="Times New Roman" w:hAnsi="Times New Roman"/>
          <w:sz w:val="20"/>
          <w:szCs w:val="20"/>
        </w:rPr>
        <w:t>≤</w:t>
      </w:r>
      <w:r>
        <w:rPr>
          <w:rFonts w:ascii="Times New Roman" w:hAnsi="Times New Roman" w:hint="eastAsia"/>
          <w:sz w:val="20"/>
          <w:szCs w:val="20"/>
        </w:rPr>
        <w:t>hf, then the product price that maximizes the product sales profit is given by:</w:t>
      </w:r>
    </w:p>
    <w:p w14:paraId="044A6583" w14:textId="77777777" w:rsidR="00097C63" w:rsidRDefault="00FB6D14">
      <w:pPr>
        <w:jc w:val="right"/>
        <w:rPr>
          <w:rFonts w:ascii="Cambria Math" w:hAnsi="Cambria Math"/>
          <w:sz w:val="20"/>
          <w:szCs w:val="22"/>
        </w:rPr>
      </w:pPr>
      <m:oMath>
        <m:sSubSup>
          <m:sSubSupPr>
            <m:ctrlPr>
              <w:rPr>
                <w:rFonts w:ascii="Cambria Math" w:hAnsi="Cambria Math"/>
                <w:i/>
                <w:sz w:val="20"/>
                <w:szCs w:val="22"/>
              </w:rPr>
            </m:ctrlPr>
          </m:sSubSupPr>
          <m:e>
            <m:r>
              <w:rPr>
                <w:rFonts w:ascii="Cambria Math" w:hAnsi="Cambria Math"/>
                <w:sz w:val="20"/>
                <w:szCs w:val="22"/>
              </w:rPr>
              <m:t>S</m:t>
            </m:r>
          </m:e>
          <m:sub>
            <m:r>
              <w:rPr>
                <w:rFonts w:ascii="Cambria Math" w:hAnsi="Cambria Math"/>
                <w:sz w:val="20"/>
                <w:szCs w:val="22"/>
              </w:rPr>
              <m:t>p</m:t>
            </m:r>
          </m:sub>
          <m:sup>
            <m:r>
              <w:rPr>
                <w:rFonts w:ascii="Cambria Math" w:hAnsi="Cambria Math"/>
                <w:sz w:val="20"/>
                <w:szCs w:val="22"/>
              </w:rPr>
              <m:t>*</m:t>
            </m:r>
          </m:sup>
        </m:sSubSup>
        <m:r>
          <w:rPr>
            <w:rFonts w:ascii="Cambria Math" w:hAnsi="Cambria Math"/>
            <w:sz w:val="20"/>
            <w:szCs w:val="22"/>
          </w:rPr>
          <m:t>=</m:t>
        </m:r>
        <m:f>
          <m:fPr>
            <m:ctrlPr>
              <w:rPr>
                <w:rFonts w:ascii="Cambria Math" w:hAnsi="Cambria Math"/>
                <w:i/>
                <w:sz w:val="20"/>
                <w:szCs w:val="22"/>
              </w:rPr>
            </m:ctrlPr>
          </m:fPr>
          <m:num>
            <m:sSup>
              <m:sSupPr>
                <m:ctrlPr>
                  <w:rPr>
                    <w:rFonts w:ascii="Cambria Math" w:hAnsi="Cambria Math"/>
                    <w:i/>
                    <w:sz w:val="20"/>
                    <w:szCs w:val="22"/>
                  </w:rPr>
                </m:ctrlPr>
              </m:sSupPr>
              <m:e>
                <m:r>
                  <w:rPr>
                    <w:rFonts w:ascii="Cambria Math" w:hAnsi="Cambria Math"/>
                    <w:sz w:val="20"/>
                    <w:szCs w:val="22"/>
                  </w:rPr>
                  <m:t>ξ</m:t>
                </m:r>
              </m:e>
              <m:sup>
                <m:r>
                  <w:rPr>
                    <w:rFonts w:ascii="Cambria Math" w:hAnsi="Cambria Math"/>
                    <w:sz w:val="20"/>
                    <w:szCs w:val="22"/>
                  </w:rPr>
                  <m:t>1</m:t>
                </m:r>
              </m:sup>
            </m:sSup>
          </m:num>
          <m:den>
            <m:sSup>
              <m:sSupPr>
                <m:ctrlPr>
                  <w:rPr>
                    <w:rFonts w:ascii="Cambria Math" w:hAnsi="Cambria Math"/>
                    <w:i/>
                    <w:sz w:val="20"/>
                    <w:szCs w:val="22"/>
                  </w:rPr>
                </m:ctrlPr>
              </m:sSupPr>
              <m:e>
                <m:r>
                  <w:rPr>
                    <w:rFonts w:ascii="Cambria Math" w:hAnsi="Cambria Math"/>
                    <w:sz w:val="20"/>
                    <w:szCs w:val="22"/>
                  </w:rPr>
                  <m:t>ξ</m:t>
                </m:r>
              </m:e>
              <m:sup>
                <m:r>
                  <w:rPr>
                    <w:rFonts w:ascii="Cambria Math" w:hAnsi="Cambria Math"/>
                    <w:sz w:val="20"/>
                    <w:szCs w:val="22"/>
                  </w:rPr>
                  <m:t>1</m:t>
                </m:r>
              </m:sup>
            </m:sSup>
            <m:r>
              <w:rPr>
                <w:rFonts w:ascii="Cambria Math" w:hAnsi="Cambria Math"/>
                <w:sz w:val="20"/>
                <w:szCs w:val="22"/>
              </w:rPr>
              <m:t>-1</m:t>
            </m:r>
          </m:den>
        </m:f>
        <m:r>
          <w:rPr>
            <w:rFonts w:ascii="Cambria Math" w:hAnsi="Cambria Math"/>
            <w:sz w:val="20"/>
            <w:szCs w:val="22"/>
          </w:rPr>
          <m:t>(Cs+EC)</m:t>
        </m:r>
      </m:oMath>
      <w:r>
        <w:rPr>
          <w:rFonts w:ascii="Cambria Math" w:hAnsi="Cambria Math"/>
          <w:sz w:val="20"/>
          <w:szCs w:val="22"/>
        </w:rPr>
        <w:t xml:space="preserve"> </w:t>
      </w:r>
      <w:r>
        <w:rPr>
          <w:rFonts w:ascii="Cambria Math" w:hAnsi="Cambria Math"/>
          <w:sz w:val="20"/>
          <w:szCs w:val="22"/>
        </w:rPr>
        <w:tab/>
      </w:r>
      <w:r>
        <w:rPr>
          <w:rFonts w:ascii="Cambria Math" w:hAnsi="Cambria Math"/>
          <w:sz w:val="20"/>
          <w:szCs w:val="22"/>
        </w:rPr>
        <w:tab/>
        <w:t>(34)</w:t>
      </w:r>
    </w:p>
    <w:p w14:paraId="19F422A4"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Proof: By taking the derivative of </w:t>
      </w:r>
      <m:oMath>
        <m:r>
          <w:rPr>
            <w:rFonts w:ascii="Cambria Math" w:hAnsi="Cambria Math"/>
            <w:sz w:val="20"/>
            <w:szCs w:val="20"/>
          </w:rPr>
          <m:t>G</m:t>
        </m:r>
        <m:r>
          <m:rPr>
            <m:sty m:val="p"/>
          </m:rPr>
          <w:rPr>
            <w:rFonts w:ascii="Cambria Math" w:hAnsi="Cambria Math"/>
            <w:sz w:val="20"/>
            <w:szCs w:val="20"/>
          </w:rPr>
          <m:t>(</m:t>
        </m:r>
        <m:r>
          <w:rPr>
            <w:rFonts w:ascii="Cambria Math" w:hAnsi="Cambria Math"/>
            <w:sz w:val="20"/>
            <w:szCs w:val="20"/>
          </w:rPr>
          <m:t>W</m:t>
        </m:r>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h</m:t>
            </m:r>
          </m:e>
          <m:sub>
            <m:r>
              <w:rPr>
                <w:rFonts w:ascii="Cambria Math" w:hAnsi="Cambria Math"/>
                <w:sz w:val="20"/>
                <w:szCs w:val="20"/>
              </w:rPr>
              <m:t>p</m:t>
            </m:r>
          </m:sub>
        </m:sSub>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S</m:t>
            </m:r>
          </m:e>
          <m:sub>
            <m:r>
              <w:rPr>
                <w:rFonts w:ascii="Cambria Math" w:hAnsi="Cambria Math"/>
                <w:sz w:val="20"/>
                <w:szCs w:val="20"/>
              </w:rPr>
              <m:t>p</m:t>
            </m:r>
          </m:sub>
        </m:sSub>
        <m:r>
          <m:rPr>
            <m:sty m:val="p"/>
          </m:rPr>
          <w:rPr>
            <w:rFonts w:ascii="Cambria Math" w:hAnsi="Cambria Math"/>
            <w:sz w:val="20"/>
            <w:szCs w:val="20"/>
          </w:rPr>
          <m:t>)</m:t>
        </m:r>
      </m:oMath>
      <w:r>
        <w:rPr>
          <w:rFonts w:ascii="Times New Roman" w:hAnsi="Times New Roman" w:hint="eastAsia"/>
          <w:sz w:val="20"/>
          <w:szCs w:val="20"/>
        </w:rPr>
        <w:t xml:space="preserve"> with respect to Sp, the first-order derivative is given by:</w:t>
      </w:r>
    </w:p>
    <w:p w14:paraId="4C0BC536" w14:textId="77777777" w:rsidR="00097C63" w:rsidRDefault="00097C63">
      <w:pPr>
        <w:ind w:firstLine="284"/>
        <w:rPr>
          <w:rFonts w:ascii="Times New Roman" w:hAnsi="Times New Roman"/>
          <w:sz w:val="20"/>
          <w:szCs w:val="20"/>
        </w:rPr>
        <w:sectPr w:rsidR="00097C63">
          <w:type w:val="continuous"/>
          <w:pgSz w:w="11906" w:h="16838"/>
          <w:pgMar w:top="1219" w:right="567" w:bottom="1219" w:left="567" w:header="765" w:footer="567" w:gutter="0"/>
          <w:cols w:num="2" w:space="566"/>
          <w:docGrid w:type="linesAndChars" w:linePitch="313" w:charSpace="139"/>
        </w:sectPr>
      </w:pPr>
    </w:p>
    <w:p w14:paraId="10753BFF" w14:textId="77777777" w:rsidR="00097C63" w:rsidRDefault="00FB6D14">
      <w:pPr>
        <w:jc w:val="right"/>
        <w:rPr>
          <w:rFonts w:ascii="Cambria Math" w:hAnsi="Cambria Math"/>
          <w:sz w:val="20"/>
          <w:szCs w:val="22"/>
        </w:rPr>
        <w:sectPr w:rsidR="00097C63">
          <w:type w:val="continuous"/>
          <w:pgSz w:w="11906" w:h="16838"/>
          <w:pgMar w:top="1219" w:right="567" w:bottom="1219" w:left="567" w:header="765" w:footer="567" w:gutter="0"/>
          <w:cols w:space="566"/>
          <w:docGrid w:type="linesAndChars" w:linePitch="313" w:charSpace="139"/>
        </w:sectPr>
      </w:pPr>
      <m:oMath>
        <m:f>
          <m:fPr>
            <m:ctrlPr>
              <w:rPr>
                <w:rFonts w:ascii="Cambria Math" w:hAnsi="Cambria Math"/>
                <w:i/>
                <w:sz w:val="20"/>
                <w:szCs w:val="22"/>
              </w:rPr>
            </m:ctrlPr>
          </m:fPr>
          <m:num>
            <m:r>
              <w:rPr>
                <w:rFonts w:ascii="Cambria Math" w:hAnsi="Cambria Math"/>
                <w:sz w:val="20"/>
                <w:szCs w:val="22"/>
              </w:rPr>
              <m:t>dG(W,</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r>
              <w:rPr>
                <w:rFonts w:ascii="Cambria Math" w:hAnsi="Cambria Math"/>
                <w:sz w:val="20"/>
                <w:szCs w:val="22"/>
              </w:rPr>
              <m:t>)</m:t>
            </m:r>
          </m:num>
          <m:den>
            <m:r>
              <w:rPr>
                <w:rFonts w:ascii="Cambria Math" w:hAnsi="Cambria Math"/>
                <w:sz w:val="20"/>
                <w:szCs w:val="22"/>
              </w:rPr>
              <m:t>d</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den>
        </m:f>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1</m:t>
            </m:r>
          </m:sub>
        </m:sSub>
        <m:sSup>
          <m:sSupPr>
            <m:ctrlPr>
              <w:rPr>
                <w:rFonts w:ascii="Cambria Math" w:hAnsi="Cambria Math"/>
                <w:i/>
                <w:sz w:val="20"/>
                <w:szCs w:val="22"/>
              </w:rPr>
            </m:ctrlPr>
          </m:sSupPr>
          <m:e>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e>
          <m: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1</m:t>
                </m:r>
              </m:sub>
            </m:sSub>
            <m:r>
              <w:rPr>
                <w:rFonts w:ascii="Cambria Math" w:hAnsi="Cambria Math"/>
                <w:sz w:val="20"/>
                <w:szCs w:val="22"/>
              </w:rPr>
              <m:t>-1</m:t>
            </m:r>
          </m:sup>
        </m:s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2</m:t>
            </m:r>
          </m:sub>
        </m:sSub>
        <m:r>
          <w:rPr>
            <w:rFonts w:ascii="Cambria Math" w:hAnsi="Cambria Math"/>
            <w:sz w:val="20"/>
            <w:szCs w:val="22"/>
          </w:rPr>
          <m:t>+W</m:t>
        </m:r>
        <m:sSup>
          <m:sSupPr>
            <m:ctrlPr>
              <w:rPr>
                <w:rFonts w:ascii="Cambria Math" w:hAnsi="Cambria Math"/>
                <w:i/>
                <w:sz w:val="20"/>
                <w:szCs w:val="22"/>
              </w:rPr>
            </m:ctrlPr>
          </m:sSupPr>
          <m:e>
            <m:r>
              <w:rPr>
                <w:rFonts w:ascii="Cambria Math" w:hAnsi="Cambria Math"/>
                <w:sz w:val="20"/>
                <w:szCs w:val="22"/>
              </w:rPr>
              <m:t>)</m:t>
            </m:r>
          </m:e>
          <m:sup>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2</m:t>
                </m:r>
              </m:sub>
            </m:sSub>
          </m:sup>
        </m:sSup>
        <m:r>
          <w:rPr>
            <w:rFonts w:ascii="Cambria Math" w:hAnsi="Cambria Math"/>
            <w:sz w:val="20"/>
            <w:szCs w:val="22"/>
          </w:rPr>
          <m:t>(1+</m:t>
        </m:r>
        <m:sSub>
          <m:sSubPr>
            <m:ctrlPr>
              <w:rPr>
                <w:rFonts w:ascii="Cambria Math" w:hAnsi="Cambria Math"/>
                <w:i/>
                <w:sz w:val="20"/>
                <w:szCs w:val="22"/>
              </w:rPr>
            </m:ctrlPr>
          </m:sSubPr>
          <m:e>
            <m:r>
              <w:rPr>
                <w:rFonts w:ascii="Cambria Math" w:hAnsi="Cambria Math"/>
                <w:sz w:val="20"/>
                <w:szCs w:val="22"/>
              </w:rPr>
              <m:t>ϑ</m:t>
            </m:r>
          </m:e>
          <m:sub>
            <m:r>
              <w:rPr>
                <w:rFonts w:ascii="Cambria Math" w:hAnsi="Cambria Math"/>
                <w:sz w:val="20"/>
                <w:szCs w:val="22"/>
              </w:rPr>
              <m:t>3</m:t>
            </m:r>
          </m:sub>
        </m:sSub>
        <m:f>
          <m:fPr>
            <m:ctrlPr>
              <w:rPr>
                <w:rFonts w:ascii="Cambria Math" w:hAnsi="Cambria Math"/>
                <w:i/>
                <w:sz w:val="20"/>
                <w:szCs w:val="22"/>
              </w:rPr>
            </m:ctrlPr>
          </m:fPr>
          <m:num>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f</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num>
          <m:den>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f</m:t>
                </m:r>
              </m:sub>
            </m:sSub>
          </m:den>
        </m:f>
        <m:sSup>
          <m:sSupPr>
            <m:ctrlPr>
              <w:rPr>
                <w:rFonts w:ascii="Cambria Math" w:hAnsi="Cambria Math"/>
                <w:i/>
                <w:sz w:val="20"/>
                <w:szCs w:val="22"/>
              </w:rPr>
            </m:ctrlPr>
          </m:sSupPr>
          <m:e>
            <m:r>
              <w:rPr>
                <w:rFonts w:ascii="Cambria Math" w:hAnsi="Cambria Math"/>
                <w:sz w:val="20"/>
                <w:szCs w:val="22"/>
              </w:rPr>
              <m:t>)</m:t>
            </m:r>
          </m:e>
          <m:sup>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3</m:t>
                </m:r>
              </m:sub>
            </m:sSub>
          </m:sup>
        </m:sSup>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ξ</m:t>
            </m:r>
          </m:e>
          <m:sub>
            <m:r>
              <w:rPr>
                <w:rFonts w:ascii="Cambria Math" w:hAnsi="Cambria Math"/>
                <w:sz w:val="20"/>
                <w:szCs w:val="22"/>
              </w:rPr>
              <m:t>1</m:t>
            </m:r>
          </m:sub>
        </m:sSub>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S</m:t>
            </m:r>
          </m:e>
          <m:sub>
            <m:r>
              <w:rPr>
                <w:rFonts w:ascii="Cambria Math" w:hAnsi="Cambria Math"/>
                <w:sz w:val="20"/>
                <w:szCs w:val="22"/>
              </w:rPr>
              <m:t>p</m:t>
            </m:r>
          </m:sub>
        </m:sSub>
        <m:r>
          <w:rPr>
            <w:rFonts w:ascii="Cambria Math" w:hAnsi="Cambria Math"/>
            <w:sz w:val="20"/>
            <w:szCs w:val="22"/>
          </w:rPr>
          <m:t>-Cs-EC)]</m:t>
        </m:r>
      </m:oMath>
      <w:r>
        <w:rPr>
          <w:rFonts w:ascii="Cambria Math" w:hAnsi="Cambria Math"/>
          <w:sz w:val="20"/>
          <w:szCs w:val="22"/>
        </w:rPr>
        <w:t xml:space="preserve">  </w:t>
      </w:r>
      <w:r>
        <w:rPr>
          <w:rFonts w:ascii="Cambria Math" w:hAnsi="Cambria Math"/>
          <w:sz w:val="20"/>
          <w:szCs w:val="22"/>
        </w:rPr>
        <w:tab/>
      </w:r>
      <w:r>
        <w:rPr>
          <w:rFonts w:ascii="Cambria Math" w:hAnsi="Cambria Math"/>
          <w:sz w:val="20"/>
          <w:szCs w:val="22"/>
        </w:rPr>
        <w:tab/>
        <w:t>(35)</w:t>
      </w:r>
    </w:p>
    <w:p w14:paraId="7A9987EC" w14:textId="77777777" w:rsidR="00097C63" w:rsidRDefault="00097C63">
      <w:pPr>
        <w:rPr>
          <w:rFonts w:ascii="Times New Roman" w:hAnsi="Times New Roman"/>
          <w:sz w:val="20"/>
          <w:szCs w:val="20"/>
        </w:rPr>
        <w:sectPr w:rsidR="00097C63">
          <w:type w:val="continuous"/>
          <w:pgSz w:w="11906" w:h="16838"/>
          <w:pgMar w:top="1219" w:right="567" w:bottom="1219" w:left="567" w:header="765" w:footer="567" w:gutter="0"/>
          <w:cols w:num="2" w:space="566"/>
          <w:docGrid w:type="linesAndChars" w:linePitch="313" w:charSpace="139"/>
        </w:sectPr>
      </w:pPr>
    </w:p>
    <w:p w14:paraId="23B9EC1B" w14:textId="77777777" w:rsidR="00097C63" w:rsidRDefault="00FB6D14">
      <w:pPr>
        <w:ind w:firstLine="284"/>
        <w:rPr>
          <w:rFonts w:ascii="Times New Roman" w:hAnsi="Times New Roman"/>
          <w:sz w:val="20"/>
          <w:szCs w:val="20"/>
        </w:rPr>
      </w:pPr>
      <w:r>
        <w:rPr>
          <w:rFonts w:ascii="Times New Roman" w:hAnsi="Times New Roman"/>
          <w:sz w:val="20"/>
          <w:szCs w:val="20"/>
        </w:rPr>
        <w:t xml:space="preserve">Setting </w:t>
      </w:r>
      <w:r>
        <w:rPr>
          <w:rFonts w:ascii="Times New Roman" w:hAnsi="Times New Roman" w:hint="eastAsia"/>
          <w:sz w:val="20"/>
          <w:szCs w:val="20"/>
        </w:rPr>
        <w:t>formula</w:t>
      </w:r>
      <w:r>
        <w:rPr>
          <w:rFonts w:ascii="Times New Roman" w:hAnsi="Times New Roman"/>
          <w:sz w:val="20"/>
          <w:szCs w:val="20"/>
        </w:rPr>
        <w:t>(</w:t>
      </w:r>
      <w:r>
        <w:rPr>
          <w:rFonts w:ascii="Times New Roman" w:hAnsi="Times New Roman" w:hint="eastAsia"/>
          <w:sz w:val="20"/>
          <w:szCs w:val="20"/>
        </w:rPr>
        <w:t>35</w:t>
      </w:r>
      <w:r>
        <w:rPr>
          <w:rFonts w:ascii="Times New Roman" w:hAnsi="Times New Roman"/>
          <w:sz w:val="20"/>
          <w:szCs w:val="20"/>
        </w:rPr>
        <w:t xml:space="preserve">) equal to zero allows us to solve for </w:t>
      </w:r>
      <w:r>
        <w:rPr>
          <w:rFonts w:ascii="Times New Roman" w:hAnsi="Times New Roman" w:hint="eastAsia"/>
          <w:sz w:val="20"/>
          <w:szCs w:val="20"/>
        </w:rPr>
        <w:t>formula</w:t>
      </w:r>
      <w:r>
        <w:rPr>
          <w:rFonts w:ascii="Times New Roman" w:hAnsi="Times New Roman"/>
          <w:sz w:val="20"/>
          <w:szCs w:val="20"/>
        </w:rPr>
        <w:t xml:space="preserve"> (</w:t>
      </w:r>
      <w:r>
        <w:rPr>
          <w:rFonts w:ascii="Times New Roman" w:hAnsi="Times New Roman" w:hint="eastAsia"/>
          <w:sz w:val="20"/>
          <w:szCs w:val="20"/>
        </w:rPr>
        <w:t>34</w:t>
      </w:r>
      <w:r>
        <w:rPr>
          <w:rFonts w:ascii="Times New Roman" w:hAnsi="Times New Roman"/>
          <w:sz w:val="20"/>
          <w:szCs w:val="20"/>
        </w:rPr>
        <w:t xml:space="preserve">). To further analyze the properties of right-hand side of </w:t>
      </w:r>
      <w:r>
        <w:rPr>
          <w:rFonts w:ascii="Times New Roman" w:hAnsi="Times New Roman" w:hint="eastAsia"/>
          <w:sz w:val="20"/>
          <w:szCs w:val="20"/>
        </w:rPr>
        <w:t>formula</w:t>
      </w:r>
      <w:r>
        <w:rPr>
          <w:rFonts w:ascii="Times New Roman" w:hAnsi="Times New Roman"/>
          <w:sz w:val="20"/>
          <w:szCs w:val="20"/>
        </w:rPr>
        <w:t xml:space="preserve"> (</w:t>
      </w:r>
      <w:r>
        <w:rPr>
          <w:rFonts w:ascii="Times New Roman" w:hAnsi="Times New Roman" w:hint="eastAsia"/>
          <w:sz w:val="20"/>
          <w:szCs w:val="20"/>
        </w:rPr>
        <w:t>35</w:t>
      </w:r>
      <w:r>
        <w:rPr>
          <w:rFonts w:ascii="Times New Roman" w:hAnsi="Times New Roman"/>
          <w:sz w:val="20"/>
          <w:szCs w:val="20"/>
        </w:rPr>
        <w:t>) with respect to</w:t>
      </w:r>
      <w:r>
        <w:rPr>
          <w:rFonts w:ascii="Times New Roman" w:hAnsi="Times New Roman" w:hint="eastAsia"/>
          <w:sz w:val="20"/>
          <w:szCs w:val="20"/>
        </w:rPr>
        <w:t xml:space="preserve"> </w:t>
      </w:r>
      <w:r>
        <w:rPr>
          <w:rFonts w:ascii="Times New Roman" w:hAnsi="Times New Roman" w:hint="eastAsia"/>
          <w:i/>
          <w:iCs/>
          <w:sz w:val="20"/>
          <w:szCs w:val="20"/>
        </w:rPr>
        <w:t>S</w:t>
      </w:r>
      <w:r>
        <w:rPr>
          <w:rFonts w:ascii="Times New Roman" w:hAnsi="Times New Roman" w:hint="eastAsia"/>
          <w:i/>
          <w:iCs/>
          <w:sz w:val="20"/>
          <w:szCs w:val="20"/>
          <w:vertAlign w:val="subscript"/>
        </w:rPr>
        <w:t>p</w:t>
      </w:r>
      <w:r>
        <w:rPr>
          <w:rFonts w:ascii="Times New Roman" w:hAnsi="Times New Roman" w:hint="eastAsia"/>
          <w:sz w:val="20"/>
          <w:szCs w:val="20"/>
        </w:rPr>
        <w:t xml:space="preserve">, </w:t>
      </w:r>
      <w:r>
        <w:rPr>
          <w:rFonts w:ascii="Times New Roman" w:hAnsi="Times New Roman"/>
          <w:sz w:val="20"/>
          <w:szCs w:val="20"/>
        </w:rPr>
        <w:t xml:space="preserve">we can take the second </w:t>
      </w:r>
      <w:r>
        <w:rPr>
          <w:rFonts w:ascii="Times New Roman" w:hAnsi="Times New Roman"/>
          <w:sz w:val="20"/>
          <w:szCs w:val="20"/>
        </w:rPr>
        <w:t xml:space="preserve">derivative of </w:t>
      </w:r>
      <m:oMath>
        <m:r>
          <w:rPr>
            <w:rFonts w:ascii="Cambria Math" w:hAnsi="Cambria Math"/>
            <w:sz w:val="20"/>
            <w:szCs w:val="20"/>
          </w:rPr>
          <m:t>G(W,</m:t>
        </m:r>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p</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p</m:t>
            </m:r>
          </m:sub>
        </m:sSub>
        <m:r>
          <w:rPr>
            <w:rFonts w:ascii="Cambria Math" w:hAnsi="Cambria Math"/>
            <w:sz w:val="20"/>
            <w:szCs w:val="20"/>
          </w:rPr>
          <m:t>)</m:t>
        </m:r>
      </m:oMath>
      <w:r>
        <w:rPr>
          <w:rFonts w:ascii="Times New Roman" w:hAnsi="Times New Roman" w:hint="eastAsia"/>
          <w:sz w:val="20"/>
          <w:szCs w:val="20"/>
        </w:rPr>
        <w:t xml:space="preserve"> </w:t>
      </w:r>
      <w:r>
        <w:rPr>
          <w:rFonts w:ascii="Times New Roman" w:hAnsi="Times New Roman"/>
          <w:sz w:val="20"/>
          <w:szCs w:val="20"/>
        </w:rPr>
        <w:t xml:space="preserve">with respect to </w:t>
      </w:r>
      <w:r>
        <w:rPr>
          <w:rFonts w:ascii="Times New Roman" w:hAnsi="Times New Roman" w:hint="eastAsia"/>
          <w:i/>
          <w:iCs/>
          <w:sz w:val="20"/>
          <w:szCs w:val="20"/>
        </w:rPr>
        <w:t>S</w:t>
      </w:r>
      <w:r>
        <w:rPr>
          <w:rFonts w:ascii="Times New Roman" w:hAnsi="Times New Roman" w:hint="eastAsia"/>
          <w:i/>
          <w:iCs/>
          <w:sz w:val="20"/>
          <w:szCs w:val="20"/>
          <w:vertAlign w:val="subscript"/>
        </w:rPr>
        <w:t>p</w:t>
      </w:r>
      <w:r>
        <w:rPr>
          <w:rFonts w:ascii="Times New Roman" w:hAnsi="Times New Roman" w:hint="eastAsia"/>
          <w:sz w:val="20"/>
          <w:szCs w:val="20"/>
        </w:rPr>
        <w:t xml:space="preserve">. </w:t>
      </w:r>
      <w:r>
        <w:rPr>
          <w:rFonts w:ascii="Times New Roman" w:hAnsi="Times New Roman"/>
          <w:sz w:val="20"/>
          <w:szCs w:val="20"/>
        </w:rPr>
        <w:t>The specific steps are as follows:</w:t>
      </w:r>
    </w:p>
    <w:p w14:paraId="5E259670" w14:textId="77777777" w:rsidR="00097C63" w:rsidRDefault="00097C63">
      <w:pPr>
        <w:ind w:firstLine="284"/>
        <w:rPr>
          <w:rFonts w:ascii="Times New Roman" w:hAnsi="Times New Roman"/>
          <w:sz w:val="20"/>
          <w:szCs w:val="20"/>
        </w:rPr>
        <w:sectPr w:rsidR="00097C63">
          <w:type w:val="continuous"/>
          <w:pgSz w:w="11906" w:h="16838"/>
          <w:pgMar w:top="1219" w:right="567" w:bottom="1219" w:left="567" w:header="765" w:footer="567" w:gutter="0"/>
          <w:cols w:num="2" w:space="566"/>
          <w:docGrid w:type="linesAndChars" w:linePitch="313" w:charSpace="139"/>
        </w:sectPr>
      </w:pPr>
    </w:p>
    <w:p w14:paraId="14BE2888" w14:textId="77777777" w:rsidR="00097C63" w:rsidRDefault="00FB6D14">
      <w:pPr>
        <w:ind w:firstLine="284"/>
        <w:jc w:val="right"/>
        <w:rPr>
          <w:rFonts w:ascii="Cambria Math" w:hAnsi="Cambria Math"/>
          <w:sz w:val="20"/>
          <w:szCs w:val="20"/>
        </w:rPr>
      </w:pPr>
      <m:oMath>
        <m:f>
          <m:fPr>
            <m:ctrlPr>
              <w:rPr>
                <w:rFonts w:ascii="Cambria Math" w:hAnsi="Cambria Math"/>
                <w:i/>
                <w:sz w:val="20"/>
                <w:szCs w:val="20"/>
              </w:rPr>
            </m:ctrlPr>
          </m:fPr>
          <m:num>
            <m:r>
              <w:rPr>
                <w:rFonts w:ascii="Cambria Math" w:hAnsi="Cambria Math"/>
                <w:sz w:val="20"/>
                <w:szCs w:val="20"/>
              </w:rPr>
              <m:t>dG(W,</m:t>
            </m:r>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p</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p</m:t>
                </m:r>
              </m:sub>
            </m:sSub>
            <m:r>
              <w:rPr>
                <w:rFonts w:ascii="Cambria Math" w:hAnsi="Cambria Math"/>
                <w:sz w:val="20"/>
                <w:szCs w:val="20"/>
              </w:rPr>
              <m:t>)</m:t>
            </m:r>
          </m:num>
          <m:den>
            <m:r>
              <w:rPr>
                <w:rFonts w:ascii="Cambria Math" w:hAnsi="Cambria Math"/>
                <w:sz w:val="20"/>
                <w:szCs w:val="20"/>
              </w:rPr>
              <m:t>d</m:t>
            </m:r>
            <m:sSubSup>
              <m:sSubSupPr>
                <m:ctrlPr>
                  <w:rPr>
                    <w:rFonts w:ascii="Cambria Math" w:hAnsi="Cambria Math"/>
                    <w:i/>
                    <w:sz w:val="20"/>
                    <w:szCs w:val="20"/>
                  </w:rPr>
                </m:ctrlPr>
              </m:sSubSupPr>
              <m:e>
                <m:r>
                  <w:rPr>
                    <w:rFonts w:ascii="Cambria Math" w:hAnsi="Cambria Math"/>
                    <w:sz w:val="20"/>
                    <w:szCs w:val="20"/>
                  </w:rPr>
                  <m:t>S</m:t>
                </m:r>
              </m:e>
              <m:sub>
                <m:r>
                  <w:rPr>
                    <w:rFonts w:ascii="Cambria Math" w:hAnsi="Cambria Math"/>
                    <w:sz w:val="20"/>
                    <w:szCs w:val="20"/>
                  </w:rPr>
                  <m:t>p</m:t>
                </m:r>
              </m:sub>
              <m:sup>
                <m:r>
                  <w:rPr>
                    <w:rFonts w:ascii="Cambria Math" w:hAnsi="Cambria Math"/>
                    <w:sz w:val="20"/>
                    <w:szCs w:val="20"/>
                  </w:rPr>
                  <m:t>2</m:t>
                </m:r>
              </m:sup>
            </m:sSubSup>
          </m:den>
        </m:f>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ϑ</m:t>
            </m:r>
          </m:e>
          <m:sub>
            <m:r>
              <w:rPr>
                <w:rFonts w:ascii="Cambria Math" w:hAnsi="Cambria Math"/>
                <w:sz w:val="20"/>
                <w:szCs w:val="20"/>
              </w:rPr>
              <m:t>1</m:t>
            </m:r>
          </m:sub>
        </m:sSub>
        <m:sSup>
          <m:sSupPr>
            <m:ctrlPr>
              <w:rPr>
                <w:rFonts w:ascii="Cambria Math" w:hAnsi="Cambria Math"/>
                <w:i/>
                <w:sz w:val="20"/>
                <w:szCs w:val="20"/>
              </w:rPr>
            </m:ctrlPr>
          </m:sSupPr>
          <m:e>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p</m:t>
                </m:r>
              </m:sub>
            </m:sSub>
          </m:e>
          <m:sup>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1</m:t>
                </m:r>
              </m:sub>
            </m:sSub>
            <m:r>
              <w:rPr>
                <w:rFonts w:ascii="Cambria Math" w:hAnsi="Cambria Math"/>
                <w:sz w:val="20"/>
                <w:szCs w:val="20"/>
              </w:rPr>
              <m:t>-2</m:t>
            </m:r>
          </m:sup>
        </m:sSup>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ϑ</m:t>
            </m:r>
          </m:e>
          <m:sub>
            <m:r>
              <w:rPr>
                <w:rFonts w:ascii="Cambria Math" w:hAnsi="Cambria Math"/>
                <w:sz w:val="20"/>
                <w:szCs w:val="20"/>
              </w:rPr>
              <m:t>2</m:t>
            </m:r>
          </m:sub>
        </m:sSub>
        <m:r>
          <w:rPr>
            <w:rFonts w:ascii="Cambria Math" w:hAnsi="Cambria Math"/>
            <w:sz w:val="20"/>
            <w:szCs w:val="20"/>
          </w:rPr>
          <m:t>+W</m:t>
        </m:r>
        <m:sSup>
          <m:sSupPr>
            <m:ctrlPr>
              <w:rPr>
                <w:rFonts w:ascii="Cambria Math" w:hAnsi="Cambria Math"/>
                <w:i/>
                <w:sz w:val="20"/>
                <w:szCs w:val="20"/>
              </w:rPr>
            </m:ctrlPr>
          </m:sSupPr>
          <m:e>
            <m:r>
              <w:rPr>
                <w:rFonts w:ascii="Cambria Math" w:hAnsi="Cambria Math"/>
                <w:sz w:val="20"/>
                <w:szCs w:val="20"/>
              </w:rPr>
              <m:t>)</m:t>
            </m:r>
          </m:e>
          <m:sup>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2</m:t>
                </m:r>
              </m:sub>
            </m:sSub>
          </m:sup>
        </m:sSup>
        <m:r>
          <w:rPr>
            <w:rFonts w:ascii="Cambria Math" w:hAnsi="Cambria Math"/>
            <w:sz w:val="20"/>
            <w:szCs w:val="20"/>
          </w:rPr>
          <m:t>(1+</m:t>
        </m:r>
        <m:sSub>
          <m:sSubPr>
            <m:ctrlPr>
              <w:rPr>
                <w:rFonts w:ascii="Cambria Math" w:hAnsi="Cambria Math"/>
                <w:i/>
                <w:sz w:val="20"/>
                <w:szCs w:val="20"/>
              </w:rPr>
            </m:ctrlPr>
          </m:sSubPr>
          <m:e>
            <m:r>
              <w:rPr>
                <w:rFonts w:ascii="Cambria Math" w:hAnsi="Cambria Math"/>
                <w:sz w:val="20"/>
                <w:szCs w:val="20"/>
              </w:rPr>
              <m:t>ϑ</m:t>
            </m:r>
          </m:e>
          <m:sub>
            <m:r>
              <w:rPr>
                <w:rFonts w:ascii="Cambria Math" w:hAnsi="Cambria Math"/>
                <w:sz w:val="20"/>
                <w:szCs w:val="20"/>
              </w:rPr>
              <m:t>3</m:t>
            </m:r>
          </m:sub>
        </m:sSub>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p</m:t>
                </m:r>
              </m:sub>
            </m:sSub>
          </m:num>
          <m:den>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f</m:t>
                </m:r>
              </m:sub>
            </m:sSub>
          </m:den>
        </m:f>
        <m:sSup>
          <m:sSupPr>
            <m:ctrlPr>
              <w:rPr>
                <w:rFonts w:ascii="Cambria Math" w:hAnsi="Cambria Math"/>
                <w:i/>
                <w:sz w:val="20"/>
                <w:szCs w:val="20"/>
              </w:rPr>
            </m:ctrlPr>
          </m:sSupPr>
          <m:e>
            <m:r>
              <w:rPr>
                <w:rFonts w:ascii="Cambria Math" w:hAnsi="Cambria Math"/>
                <w:sz w:val="20"/>
                <w:szCs w:val="20"/>
              </w:rPr>
              <m:t>)</m:t>
            </m:r>
          </m:e>
          <m:sup>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3</m:t>
                </m:r>
              </m:sub>
            </m:sSub>
          </m:sup>
        </m:sSup>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1</m:t>
            </m:r>
          </m:sub>
        </m:sSub>
        <m:r>
          <w:rPr>
            <w:rFonts w:ascii="Cambria Math" w:hAnsi="Cambria Math"/>
            <w:sz w:val="20"/>
            <w:szCs w:val="20"/>
          </w:rPr>
          <m:t>+1)⋅(</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p</m:t>
            </m:r>
          </m:sub>
        </m:sSub>
        <m:r>
          <w:rPr>
            <w:rFonts w:ascii="Cambria Math" w:hAnsi="Cambria Math"/>
            <w:sz w:val="20"/>
            <w:szCs w:val="20"/>
          </w:rPr>
          <m:t>-Cs-EC)-2</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p</m:t>
            </m:r>
          </m:sub>
        </m:sSub>
        <m:r>
          <w:rPr>
            <w:rFonts w:ascii="Cambria Math" w:hAnsi="Cambria Math"/>
            <w:sz w:val="20"/>
            <w:szCs w:val="20"/>
          </w:rPr>
          <m:t>]</m:t>
        </m:r>
      </m:oMath>
      <w:r>
        <w:rPr>
          <w:rFonts w:ascii="Cambria Math" w:hAnsi="Cambria Math"/>
          <w:sz w:val="20"/>
          <w:szCs w:val="20"/>
        </w:rPr>
        <w:t xml:space="preserve"> </w:t>
      </w:r>
      <w:r>
        <w:rPr>
          <w:rFonts w:ascii="Cambria Math" w:hAnsi="Cambria Math"/>
          <w:sz w:val="20"/>
          <w:szCs w:val="20"/>
        </w:rPr>
        <w:tab/>
      </w:r>
      <w:r>
        <w:rPr>
          <w:rFonts w:ascii="Cambria Math" w:hAnsi="Cambria Math"/>
          <w:sz w:val="20"/>
          <w:szCs w:val="20"/>
        </w:rPr>
        <w:tab/>
        <w:t>(36)</w:t>
      </w:r>
    </w:p>
    <w:p w14:paraId="630926E5" w14:textId="77777777" w:rsidR="00097C63" w:rsidRDefault="00097C63">
      <w:pPr>
        <w:rPr>
          <w:rFonts w:ascii="Times New Roman" w:hAnsi="Times New Roman"/>
          <w:sz w:val="20"/>
          <w:szCs w:val="20"/>
        </w:rPr>
        <w:sectPr w:rsidR="00097C63">
          <w:type w:val="continuous"/>
          <w:pgSz w:w="11906" w:h="16838"/>
          <w:pgMar w:top="1219" w:right="567" w:bottom="1219" w:left="567" w:header="765" w:footer="567" w:gutter="0"/>
          <w:cols w:space="566"/>
          <w:docGrid w:type="linesAndChars" w:linePitch="313" w:charSpace="139"/>
        </w:sectPr>
      </w:pPr>
    </w:p>
    <w:p w14:paraId="7315354D" w14:textId="77777777" w:rsidR="00097C63" w:rsidRDefault="00FB6D14">
      <w:pPr>
        <w:ind w:firstLine="284"/>
        <w:rPr>
          <w:rFonts w:ascii="Times New Roman" w:hAnsi="Times New Roman"/>
          <w:sz w:val="20"/>
          <w:szCs w:val="20"/>
        </w:rPr>
      </w:pPr>
      <w:r>
        <w:rPr>
          <w:rFonts w:ascii="Times New Roman" w:hAnsi="Times New Roman" w:hint="eastAsia"/>
          <w:sz w:val="20"/>
          <w:szCs w:val="20"/>
        </w:rPr>
        <w:t>Substituting formula (34) into formula (36), the resulting value of "</w:t>
      </w:r>
      <m:oMath>
        <m:r>
          <w:rPr>
            <w:rFonts w:ascii="Cambria Math" w:hAnsi="Cambria Math"/>
            <w:sz w:val="20"/>
            <w:szCs w:val="20"/>
          </w:rPr>
          <m:t>-(Cs+EC)</m:t>
        </m:r>
      </m:oMath>
      <w:r>
        <w:rPr>
          <w:rFonts w:ascii="Times New Roman" w:hAnsi="Times New Roman" w:hint="eastAsia"/>
          <w:sz w:val="20"/>
          <w:szCs w:val="20"/>
        </w:rPr>
        <w:t xml:space="preserve"> " is strictly less than zero, which indicates that there is an optimal product price determined by formula (34) that maximizes the product sales profit. Based on this, the total profit of the manufacturer can be expressed as:</w:t>
      </w:r>
    </w:p>
    <w:p w14:paraId="20788ED2" w14:textId="77777777" w:rsidR="00097C63" w:rsidRDefault="00FB6D14">
      <w:pPr>
        <w:ind w:firstLine="284"/>
        <w:jc w:val="right"/>
        <w:rPr>
          <w:rFonts w:ascii="Cambria Math" w:hAnsi="Cambria Math"/>
          <w:sz w:val="20"/>
          <w:szCs w:val="20"/>
        </w:rPr>
      </w:pPr>
      <m:oMath>
        <m:sSub>
          <m:sSubPr>
            <m:ctrlPr>
              <w:rPr>
                <w:rFonts w:ascii="Cambria Math" w:hAnsi="Cambria Math"/>
                <w:i/>
                <w:sz w:val="20"/>
                <w:szCs w:val="20"/>
              </w:rPr>
            </m:ctrlPr>
          </m:sSubPr>
          <m:e>
            <m:r>
              <w:rPr>
                <w:rFonts w:ascii="Cambria Math" w:hAnsi="Cambria Math"/>
                <w:sz w:val="20"/>
                <w:szCs w:val="20"/>
              </w:rPr>
              <m:t>G</m:t>
            </m:r>
          </m:e>
          <m:sub>
            <m:r>
              <w:rPr>
                <w:rFonts w:ascii="Cambria Math" w:hAnsi="Cambria Math"/>
                <w:sz w:val="20"/>
                <w:szCs w:val="20"/>
              </w:rPr>
              <m:t>m</m:t>
            </m:r>
          </m:sub>
        </m:sSub>
        <m:r>
          <w:rPr>
            <w:rFonts w:ascii="Cambria Math" w:hAnsi="Cambria Math"/>
            <w:sz w:val="20"/>
            <w:szCs w:val="20"/>
          </w:rPr>
          <m:t>=G+EP⋅R</m:t>
        </m:r>
      </m:oMath>
      <w:r>
        <w:rPr>
          <w:rFonts w:ascii="Cambria Math" w:hAnsi="Cambria Math"/>
          <w:sz w:val="20"/>
          <w:szCs w:val="20"/>
        </w:rPr>
        <w:t xml:space="preserve"> </w:t>
      </w:r>
      <w:r>
        <w:rPr>
          <w:rFonts w:ascii="Cambria Math" w:hAnsi="Cambria Math"/>
          <w:sz w:val="20"/>
          <w:szCs w:val="20"/>
        </w:rPr>
        <w:tab/>
      </w:r>
      <w:r>
        <w:rPr>
          <w:rFonts w:ascii="Cambria Math" w:hAnsi="Cambria Math"/>
          <w:sz w:val="20"/>
          <w:szCs w:val="20"/>
        </w:rPr>
        <w:tab/>
        <w:t>(37)</w:t>
      </w:r>
    </w:p>
    <w:p w14:paraId="47DCE612" w14:textId="77777777" w:rsidR="00097C63" w:rsidRDefault="00FB6D14">
      <w:pPr>
        <w:pStyle w:val="Nagwek1"/>
      </w:pPr>
      <w:r>
        <w:rPr>
          <w:rFonts w:hint="eastAsia"/>
        </w:rPr>
        <w:t>Algorithm settings</w:t>
      </w:r>
    </w:p>
    <w:p w14:paraId="010AAA9D" w14:textId="77777777" w:rsidR="00097C63" w:rsidRDefault="00FB6D14">
      <w:pPr>
        <w:rPr>
          <w:rFonts w:ascii="Times New Roman" w:hAnsi="Times New Roman"/>
          <w:sz w:val="20"/>
          <w:szCs w:val="20"/>
        </w:rPr>
      </w:pPr>
      <w:r>
        <w:rPr>
          <w:rFonts w:ascii="Times New Roman" w:hAnsi="Times New Roman"/>
          <w:sz w:val="20"/>
          <w:szCs w:val="20"/>
        </w:rPr>
        <w:t xml:space="preserve">The performance warranty decision model for the degrading system constructed in this paper aims to maximize the manufacturer's warranty profit by determining the optimal initial inspection interval, subsequent inspection intervals, and PM threshold. Due to the complexity of the mathematical expressions in the model, traditional numerical algorithms (such as grid search) are inefficient and lack sufficient accuracy when solving it. Therefore, this study employs an intelligent optimization algorithm to solve the model, thereby improving the computational efficiency and the accuracy of the results. The particle swarm optimization (PSO) algorithm, known for its fast convergence, few parameters, and simple implementation, is particularly effective for high-dimensional optimization problems and converges to the optimal solution faster than genetic algorithms. The PSO algorithm has been widely applied in engineering design, machine learning, and other fields, providing a powerful tool for solving practical problems. The two key elements of the PSO algorithm are the particles' velocity and position. The velocity vector serves as a search </w:t>
      </w:r>
      <w:r>
        <w:rPr>
          <w:rFonts w:ascii="Times New Roman" w:hAnsi="Times New Roman"/>
          <w:sz w:val="20"/>
          <w:szCs w:val="20"/>
        </w:rPr>
        <w:t>directive, specifying the particle's direction and magnitude for the subsequent iteration. Concurrently, the position vector encodes a candidate solution to the underlying optimization problem.</w:t>
      </w:r>
    </w:p>
    <w:p w14:paraId="4F81FB86" w14:textId="097D6C38" w:rsidR="00097C63" w:rsidRDefault="00FB6D14">
      <w:pPr>
        <w:ind w:firstLine="284"/>
        <w:rPr>
          <w:rFonts w:ascii="Times New Roman" w:hAnsi="Times New Roman"/>
          <w:sz w:val="20"/>
          <w:szCs w:val="20"/>
        </w:rPr>
      </w:pPr>
      <w:r>
        <w:rPr>
          <w:rFonts w:ascii="Times New Roman" w:hAnsi="Times New Roman"/>
          <w:sz w:val="20"/>
          <w:szCs w:val="20"/>
        </w:rPr>
        <w:t xml:space="preserve">Assuming in an M-dimensional search space, there are N particles, each representing a solution, then: Xim =(xi1, </w:t>
      </w:r>
      <w:r w:rsidR="00B906D7">
        <w:rPr>
          <w:rFonts w:ascii="Times New Roman" w:hAnsi="Times New Roman"/>
          <w:sz w:val="20"/>
          <w:szCs w:val="20"/>
        </w:rPr>
        <w:t xml:space="preserve"> </w:t>
      </w:r>
      <w:r>
        <w:rPr>
          <w:rFonts w:ascii="Times New Roman" w:hAnsi="Times New Roman"/>
          <w:sz w:val="20"/>
          <w:szCs w:val="20"/>
        </w:rPr>
        <w:t xml:space="preserve">xi2 ,......, xim); The distance and direction </w:t>
      </w:r>
      <w:r w:rsidR="00B906D7">
        <w:rPr>
          <w:rFonts w:ascii="Times New Roman" w:hAnsi="Times New Roman"/>
          <w:sz w:val="20"/>
          <w:szCs w:val="20"/>
        </w:rPr>
        <w:t>the particle moves is Vim =(vi1</w:t>
      </w:r>
      <w:r>
        <w:rPr>
          <w:rFonts w:ascii="Times New Roman" w:hAnsi="Times New Roman"/>
          <w:sz w:val="20"/>
          <w:szCs w:val="20"/>
        </w:rPr>
        <w:t>,</w:t>
      </w:r>
      <w:r w:rsidR="00B906D7">
        <w:rPr>
          <w:rFonts w:ascii="Times New Roman" w:hAnsi="Times New Roman"/>
          <w:sz w:val="20"/>
          <w:szCs w:val="20"/>
        </w:rPr>
        <w:t xml:space="preserve"> </w:t>
      </w:r>
      <w:r>
        <w:rPr>
          <w:rFonts w:ascii="Times New Roman" w:hAnsi="Times New Roman"/>
          <w:sz w:val="20"/>
          <w:szCs w:val="20"/>
        </w:rPr>
        <w:t>vi2 ,......,vim); The individual optimal solution is Pim,pbest =(Pi1, Pi2,......, Pim); The global optimal solution is Pm, gbest =(P1,</w:t>
      </w:r>
      <w:r w:rsidR="00B906D7">
        <w:rPr>
          <w:rFonts w:ascii="Times New Roman" w:hAnsi="Times New Roman"/>
          <w:sz w:val="20"/>
          <w:szCs w:val="20"/>
        </w:rPr>
        <w:t xml:space="preserve"> </w:t>
      </w:r>
      <w:r>
        <w:rPr>
          <w:rFonts w:ascii="Times New Roman" w:hAnsi="Times New Roman"/>
          <w:sz w:val="20"/>
          <w:szCs w:val="20"/>
        </w:rPr>
        <w:t>gbest , P2,</w:t>
      </w:r>
      <w:r w:rsidR="00B906D7">
        <w:rPr>
          <w:rFonts w:ascii="Times New Roman" w:hAnsi="Times New Roman"/>
          <w:sz w:val="20"/>
          <w:szCs w:val="20"/>
        </w:rPr>
        <w:t xml:space="preserve"> </w:t>
      </w:r>
      <w:r>
        <w:rPr>
          <w:rFonts w:ascii="Times New Roman" w:hAnsi="Times New Roman"/>
          <w:sz w:val="20"/>
          <w:szCs w:val="20"/>
        </w:rPr>
        <w:t>gbest ,......, Pm,</w:t>
      </w:r>
      <w:r w:rsidR="00B906D7">
        <w:rPr>
          <w:rFonts w:ascii="Times New Roman" w:hAnsi="Times New Roman"/>
          <w:sz w:val="20"/>
          <w:szCs w:val="20"/>
        </w:rPr>
        <w:t xml:space="preserve"> </w:t>
      </w:r>
      <w:bookmarkStart w:id="4" w:name="_GoBack"/>
      <w:bookmarkEnd w:id="4"/>
      <w:r>
        <w:rPr>
          <w:rFonts w:ascii="Times New Roman" w:hAnsi="Times New Roman"/>
          <w:sz w:val="20"/>
          <w:szCs w:val="20"/>
        </w:rPr>
        <w:t>gbest); The individual historical optimal fitness value is fp; The swarm historical optimal fitness value is fg..</w:t>
      </w:r>
    </w:p>
    <w:p w14:paraId="3C7C5BEB" w14:textId="77777777" w:rsidR="00097C63" w:rsidRDefault="00FB6D14">
      <w:pPr>
        <w:ind w:firstLine="284"/>
        <w:rPr>
          <w:rFonts w:ascii="Times New Roman" w:hAnsi="Times New Roman"/>
          <w:sz w:val="20"/>
          <w:szCs w:val="20"/>
        </w:rPr>
      </w:pPr>
      <w:r>
        <w:rPr>
          <w:rFonts w:ascii="Times New Roman" w:hAnsi="Times New Roman"/>
          <w:sz w:val="20"/>
          <w:szCs w:val="20"/>
        </w:rPr>
        <w:t>The updated velocity is given by the expression below.</w:t>
      </w:r>
    </w:p>
    <w:p w14:paraId="4CE12BF3" w14:textId="77777777" w:rsidR="00097C63" w:rsidRDefault="00FB6D14">
      <w:pPr>
        <w:jc w:val="right"/>
        <w:rPr>
          <w:rFonts w:ascii="Cambria Math" w:hAnsi="Cambria Math"/>
          <w:sz w:val="18"/>
          <w:szCs w:val="20"/>
        </w:rPr>
      </w:pPr>
      <m:oMath>
        <m:sSubSup>
          <m:sSubSupPr>
            <m:ctrlPr>
              <w:rPr>
                <w:rFonts w:ascii="Cambria Math" w:hAnsi="Cambria Math"/>
                <w:i/>
                <w:sz w:val="18"/>
                <w:szCs w:val="20"/>
              </w:rPr>
            </m:ctrlPr>
          </m:sSubSupPr>
          <m:e>
            <m:r>
              <w:rPr>
                <w:rFonts w:ascii="Cambria Math" w:hAnsi="Cambria Math"/>
                <w:sz w:val="18"/>
                <w:szCs w:val="20"/>
              </w:rPr>
              <m:t>v</m:t>
            </m:r>
          </m:e>
          <m:sub>
            <m:r>
              <w:rPr>
                <w:rFonts w:ascii="Cambria Math" w:hAnsi="Cambria Math"/>
                <w:sz w:val="18"/>
                <w:szCs w:val="20"/>
              </w:rPr>
              <m:t>im</m:t>
            </m:r>
          </m:sub>
          <m:sup>
            <m:r>
              <w:rPr>
                <w:rFonts w:ascii="Cambria Math" w:hAnsi="Cambria Math"/>
                <w:sz w:val="18"/>
                <w:szCs w:val="20"/>
              </w:rPr>
              <m:t>y+1</m:t>
            </m:r>
          </m:sup>
        </m:sSubSup>
        <m:r>
          <w:rPr>
            <w:rFonts w:ascii="Cambria Math" w:hAnsi="Cambria Math"/>
            <w:sz w:val="18"/>
            <w:szCs w:val="20"/>
          </w:rPr>
          <m:t>=w</m:t>
        </m:r>
        <m:sSubSup>
          <m:sSubSupPr>
            <m:ctrlPr>
              <w:rPr>
                <w:rFonts w:ascii="Cambria Math" w:hAnsi="Cambria Math"/>
                <w:i/>
                <w:sz w:val="18"/>
                <w:szCs w:val="20"/>
              </w:rPr>
            </m:ctrlPr>
          </m:sSubSupPr>
          <m:e>
            <m:r>
              <w:rPr>
                <w:rFonts w:ascii="Cambria Math" w:hAnsi="Cambria Math"/>
                <w:sz w:val="18"/>
                <w:szCs w:val="20"/>
              </w:rPr>
              <m:t>v</m:t>
            </m:r>
          </m:e>
          <m:sub>
            <m:r>
              <w:rPr>
                <w:rFonts w:ascii="Cambria Math" w:hAnsi="Cambria Math"/>
                <w:sz w:val="18"/>
                <w:szCs w:val="20"/>
              </w:rPr>
              <m:t>im</m:t>
            </m:r>
          </m:sub>
          <m:sup>
            <m:r>
              <w:rPr>
                <w:rFonts w:ascii="Cambria Math" w:hAnsi="Cambria Math"/>
                <w:sz w:val="18"/>
                <w:szCs w:val="20"/>
              </w:rPr>
              <m:t>y</m:t>
            </m:r>
          </m:sup>
        </m:sSubSup>
        <m:r>
          <w:rPr>
            <w:rFonts w:ascii="Cambria Math" w:hAnsi="Cambria Math"/>
            <w:sz w:val="18"/>
            <w:szCs w:val="20"/>
          </w:rPr>
          <m:t>+</m:t>
        </m:r>
        <m:sSub>
          <m:sSubPr>
            <m:ctrlPr>
              <w:rPr>
                <w:rFonts w:ascii="Cambria Math" w:hAnsi="Cambria Math"/>
                <w:i/>
                <w:sz w:val="18"/>
                <w:szCs w:val="20"/>
              </w:rPr>
            </m:ctrlPr>
          </m:sSubPr>
          <m:e>
            <m:r>
              <w:rPr>
                <w:rFonts w:ascii="Cambria Math" w:hAnsi="Cambria Math"/>
                <w:sz w:val="18"/>
                <w:szCs w:val="20"/>
              </w:rPr>
              <m:t>c</m:t>
            </m:r>
          </m:e>
          <m:sub>
            <m:r>
              <w:rPr>
                <w:rFonts w:ascii="Cambria Math" w:hAnsi="Cambria Math"/>
                <w:sz w:val="18"/>
                <w:szCs w:val="20"/>
              </w:rPr>
              <m:t>1</m:t>
            </m:r>
          </m:sub>
        </m:sSub>
        <m:sSub>
          <m:sSubPr>
            <m:ctrlPr>
              <w:rPr>
                <w:rFonts w:ascii="Cambria Math" w:hAnsi="Cambria Math"/>
                <w:i/>
                <w:sz w:val="18"/>
                <w:szCs w:val="20"/>
              </w:rPr>
            </m:ctrlPr>
          </m:sSubPr>
          <m:e>
            <m:r>
              <w:rPr>
                <w:rFonts w:ascii="Cambria Math" w:hAnsi="Cambria Math"/>
                <w:sz w:val="18"/>
                <w:szCs w:val="20"/>
              </w:rPr>
              <m:t>r</m:t>
            </m:r>
          </m:e>
          <m:sub>
            <m:r>
              <w:rPr>
                <w:rFonts w:ascii="Cambria Math" w:hAnsi="Cambria Math"/>
                <w:sz w:val="18"/>
                <w:szCs w:val="20"/>
              </w:rPr>
              <m:t>1</m:t>
            </m:r>
          </m:sub>
        </m:sSub>
        <m:r>
          <w:rPr>
            <w:rFonts w:ascii="Cambria Math" w:hAnsi="Cambria Math"/>
            <w:sz w:val="18"/>
            <w:szCs w:val="20"/>
          </w:rPr>
          <m:t>(</m:t>
        </m:r>
        <m:sSubSup>
          <m:sSubSupPr>
            <m:ctrlPr>
              <w:rPr>
                <w:rFonts w:ascii="Cambria Math" w:hAnsi="Cambria Math"/>
                <w:i/>
                <w:sz w:val="18"/>
                <w:szCs w:val="20"/>
              </w:rPr>
            </m:ctrlPr>
          </m:sSubSupPr>
          <m:e>
            <m:r>
              <w:rPr>
                <w:rFonts w:ascii="Cambria Math" w:hAnsi="Cambria Math"/>
                <w:sz w:val="18"/>
                <w:szCs w:val="20"/>
              </w:rPr>
              <m:t>p</m:t>
            </m:r>
          </m:e>
          <m:sub>
            <m:r>
              <w:rPr>
                <w:rFonts w:ascii="Cambria Math" w:hAnsi="Cambria Math"/>
                <w:sz w:val="18"/>
                <w:szCs w:val="20"/>
              </w:rPr>
              <m:t>im,pbest</m:t>
            </m:r>
          </m:sub>
          <m:sup>
            <m:r>
              <w:rPr>
                <w:rFonts w:ascii="Cambria Math" w:hAnsi="Cambria Math"/>
                <w:sz w:val="18"/>
                <w:szCs w:val="20"/>
              </w:rPr>
              <m:t>y</m:t>
            </m:r>
          </m:sup>
        </m:sSubSup>
        <m:r>
          <w:rPr>
            <w:rFonts w:ascii="Cambria Math" w:hAnsi="Cambria Math"/>
            <w:sz w:val="18"/>
            <w:szCs w:val="20"/>
          </w:rPr>
          <m:t>-</m:t>
        </m:r>
        <m:sSubSup>
          <m:sSubSupPr>
            <m:ctrlPr>
              <w:rPr>
                <w:rFonts w:ascii="Cambria Math" w:hAnsi="Cambria Math"/>
                <w:i/>
                <w:sz w:val="18"/>
                <w:szCs w:val="20"/>
              </w:rPr>
            </m:ctrlPr>
          </m:sSubSupPr>
          <m:e>
            <m:r>
              <w:rPr>
                <w:rFonts w:ascii="Cambria Math" w:hAnsi="Cambria Math"/>
                <w:sz w:val="18"/>
                <w:szCs w:val="20"/>
              </w:rPr>
              <m:t>x</m:t>
            </m:r>
          </m:e>
          <m:sub>
            <m:r>
              <w:rPr>
                <w:rFonts w:ascii="Cambria Math" w:hAnsi="Cambria Math"/>
                <w:sz w:val="18"/>
                <w:szCs w:val="20"/>
              </w:rPr>
              <m:t>im</m:t>
            </m:r>
          </m:sub>
          <m:sup>
            <m:r>
              <w:rPr>
                <w:rFonts w:ascii="Cambria Math" w:hAnsi="Cambria Math"/>
                <w:sz w:val="18"/>
                <w:szCs w:val="20"/>
              </w:rPr>
              <m:t>y</m:t>
            </m:r>
          </m:sup>
        </m:sSubSup>
        <m:r>
          <w:rPr>
            <w:rFonts w:ascii="Cambria Math" w:hAnsi="Cambria Math"/>
            <w:sz w:val="18"/>
            <w:szCs w:val="20"/>
          </w:rPr>
          <m:t>)+</m:t>
        </m:r>
        <m:sSub>
          <m:sSubPr>
            <m:ctrlPr>
              <w:rPr>
                <w:rFonts w:ascii="Cambria Math" w:hAnsi="Cambria Math"/>
                <w:i/>
                <w:sz w:val="18"/>
                <w:szCs w:val="20"/>
              </w:rPr>
            </m:ctrlPr>
          </m:sSubPr>
          <m:e>
            <m:r>
              <w:rPr>
                <w:rFonts w:ascii="Cambria Math" w:hAnsi="Cambria Math"/>
                <w:sz w:val="18"/>
                <w:szCs w:val="20"/>
              </w:rPr>
              <m:t>c</m:t>
            </m:r>
          </m:e>
          <m:sub>
            <m:r>
              <w:rPr>
                <w:rFonts w:ascii="Cambria Math" w:hAnsi="Cambria Math"/>
                <w:sz w:val="18"/>
                <w:szCs w:val="20"/>
              </w:rPr>
              <m:t>2</m:t>
            </m:r>
          </m:sub>
        </m:sSub>
        <m:sSub>
          <m:sSubPr>
            <m:ctrlPr>
              <w:rPr>
                <w:rFonts w:ascii="Cambria Math" w:hAnsi="Cambria Math"/>
                <w:i/>
                <w:sz w:val="18"/>
                <w:szCs w:val="20"/>
              </w:rPr>
            </m:ctrlPr>
          </m:sSubPr>
          <m:e>
            <m:r>
              <w:rPr>
                <w:rFonts w:ascii="Cambria Math" w:hAnsi="Cambria Math"/>
                <w:sz w:val="18"/>
                <w:szCs w:val="20"/>
              </w:rPr>
              <m:t>r</m:t>
            </m:r>
          </m:e>
          <m:sub>
            <m:r>
              <w:rPr>
                <w:rFonts w:ascii="Cambria Math" w:hAnsi="Cambria Math"/>
                <w:sz w:val="18"/>
                <w:szCs w:val="20"/>
              </w:rPr>
              <m:t>2</m:t>
            </m:r>
          </m:sub>
        </m:sSub>
        <m:d>
          <m:dPr>
            <m:ctrlPr>
              <w:rPr>
                <w:rFonts w:ascii="Cambria Math" w:hAnsi="Cambria Math"/>
                <w:i/>
                <w:sz w:val="18"/>
                <w:szCs w:val="20"/>
              </w:rPr>
            </m:ctrlPr>
          </m:dPr>
          <m:e>
            <m:sSubSup>
              <m:sSubSupPr>
                <m:ctrlPr>
                  <w:rPr>
                    <w:rFonts w:ascii="Cambria Math" w:hAnsi="Cambria Math"/>
                    <w:i/>
                    <w:sz w:val="18"/>
                    <w:szCs w:val="20"/>
                  </w:rPr>
                </m:ctrlPr>
              </m:sSubSupPr>
              <m:e>
                <m:r>
                  <w:rPr>
                    <w:rFonts w:ascii="Cambria Math" w:hAnsi="Cambria Math"/>
                    <w:sz w:val="18"/>
                    <w:szCs w:val="20"/>
                  </w:rPr>
                  <m:t>p</m:t>
                </m:r>
              </m:e>
              <m:sub>
                <m:r>
                  <w:rPr>
                    <w:rFonts w:ascii="Cambria Math" w:hAnsi="Cambria Math"/>
                    <w:sz w:val="18"/>
                    <w:szCs w:val="20"/>
                  </w:rPr>
                  <m:t>m,gbest</m:t>
                </m:r>
              </m:sub>
              <m:sup>
                <m:r>
                  <w:rPr>
                    <w:rFonts w:ascii="Cambria Math" w:hAnsi="Cambria Math"/>
                    <w:sz w:val="18"/>
                    <w:szCs w:val="20"/>
                  </w:rPr>
                  <m:t>y</m:t>
                </m:r>
              </m:sup>
            </m:sSubSup>
            <m:r>
              <w:rPr>
                <w:rFonts w:ascii="Cambria Math" w:hAnsi="Cambria Math"/>
                <w:sz w:val="18"/>
                <w:szCs w:val="20"/>
              </w:rPr>
              <m:t>-</m:t>
            </m:r>
            <m:sSubSup>
              <m:sSubSupPr>
                <m:ctrlPr>
                  <w:rPr>
                    <w:rFonts w:ascii="Cambria Math" w:hAnsi="Cambria Math"/>
                    <w:i/>
                    <w:sz w:val="18"/>
                    <w:szCs w:val="20"/>
                  </w:rPr>
                </m:ctrlPr>
              </m:sSubSupPr>
              <m:e>
                <m:r>
                  <w:rPr>
                    <w:rFonts w:ascii="Cambria Math" w:hAnsi="Cambria Math"/>
                    <w:sz w:val="18"/>
                    <w:szCs w:val="20"/>
                  </w:rPr>
                  <m:t>x</m:t>
                </m:r>
              </m:e>
              <m:sub>
                <m:r>
                  <w:rPr>
                    <w:rFonts w:ascii="Cambria Math" w:hAnsi="Cambria Math"/>
                    <w:sz w:val="18"/>
                    <w:szCs w:val="20"/>
                  </w:rPr>
                  <m:t>im</m:t>
                </m:r>
              </m:sub>
              <m:sup>
                <m:r>
                  <w:rPr>
                    <w:rFonts w:ascii="Cambria Math" w:hAnsi="Cambria Math"/>
                    <w:sz w:val="18"/>
                    <w:szCs w:val="20"/>
                  </w:rPr>
                  <m:t>y</m:t>
                </m:r>
              </m:sup>
            </m:sSubSup>
          </m:e>
        </m:d>
      </m:oMath>
      <w:r>
        <w:rPr>
          <w:rFonts w:ascii="Cambria Math" w:hAnsi="Cambria Math"/>
          <w:sz w:val="18"/>
          <w:szCs w:val="20"/>
        </w:rPr>
        <w:t xml:space="preserve"> </w:t>
      </w:r>
      <w:r>
        <w:rPr>
          <w:rFonts w:ascii="Cambria Math" w:hAnsi="Cambria Math"/>
          <w:sz w:val="20"/>
          <w:szCs w:val="22"/>
        </w:rPr>
        <w:t>(38)</w:t>
      </w:r>
    </w:p>
    <w:p w14:paraId="3C0F6116" w14:textId="77777777" w:rsidR="00097C63" w:rsidRDefault="00FB6D14">
      <w:pPr>
        <w:ind w:firstLine="284"/>
        <w:rPr>
          <w:rFonts w:ascii="Times New Roman" w:hAnsi="Times New Roman"/>
          <w:sz w:val="20"/>
          <w:szCs w:val="20"/>
        </w:rPr>
      </w:pPr>
      <w:r>
        <w:rPr>
          <w:rFonts w:ascii="Times New Roman" w:hAnsi="Times New Roman"/>
          <w:sz w:val="20"/>
          <w:szCs w:val="20"/>
        </w:rPr>
        <w:t>The particle position is updated as follows:</w:t>
      </w:r>
    </w:p>
    <w:p w14:paraId="26DCE5DC" w14:textId="77777777" w:rsidR="00097C63" w:rsidRDefault="00FB6D14">
      <w:pPr>
        <w:jc w:val="right"/>
        <w:rPr>
          <w:rFonts w:ascii="Cambria Math" w:hAnsi="Cambria Math"/>
          <w:sz w:val="20"/>
          <w:szCs w:val="22"/>
        </w:rPr>
      </w:pPr>
      <m:oMath>
        <m:sSubSup>
          <m:sSubSupPr>
            <m:ctrlPr>
              <w:rPr>
                <w:rFonts w:ascii="Cambria Math" w:hAnsi="Cambria Math"/>
                <w:i/>
                <w:sz w:val="20"/>
                <w:szCs w:val="22"/>
              </w:rPr>
            </m:ctrlPr>
          </m:sSubSupPr>
          <m:e>
            <m:r>
              <w:rPr>
                <w:rFonts w:ascii="Cambria Math" w:hAnsi="Cambria Math"/>
                <w:sz w:val="20"/>
                <w:szCs w:val="22"/>
              </w:rPr>
              <m:t>x</m:t>
            </m:r>
          </m:e>
          <m:sub>
            <m:r>
              <w:rPr>
                <w:rFonts w:ascii="Cambria Math" w:hAnsi="Cambria Math"/>
                <w:sz w:val="20"/>
                <w:szCs w:val="22"/>
              </w:rPr>
              <m:t>im</m:t>
            </m:r>
          </m:sub>
          <m:sup>
            <m:r>
              <w:rPr>
                <w:rFonts w:ascii="Cambria Math" w:hAnsi="Cambria Math"/>
                <w:sz w:val="20"/>
                <w:szCs w:val="22"/>
              </w:rPr>
              <m:t>y+1</m:t>
            </m:r>
          </m:sup>
        </m:sSubSup>
        <m:r>
          <w:rPr>
            <w:rFonts w:ascii="Cambria Math" w:hAnsi="Cambria Math"/>
            <w:sz w:val="20"/>
            <w:szCs w:val="22"/>
          </w:rPr>
          <m:t>=</m:t>
        </m:r>
        <m:sSubSup>
          <m:sSubSupPr>
            <m:ctrlPr>
              <w:rPr>
                <w:rFonts w:ascii="Cambria Math" w:hAnsi="Cambria Math"/>
                <w:i/>
                <w:sz w:val="20"/>
                <w:szCs w:val="22"/>
              </w:rPr>
            </m:ctrlPr>
          </m:sSubSupPr>
          <m:e>
            <m:r>
              <w:rPr>
                <w:rFonts w:ascii="Cambria Math" w:hAnsi="Cambria Math"/>
                <w:sz w:val="20"/>
                <w:szCs w:val="22"/>
              </w:rPr>
              <m:t>x</m:t>
            </m:r>
          </m:e>
          <m:sub>
            <m:r>
              <w:rPr>
                <w:rFonts w:ascii="Cambria Math" w:hAnsi="Cambria Math"/>
                <w:sz w:val="20"/>
                <w:szCs w:val="22"/>
              </w:rPr>
              <m:t>im</m:t>
            </m:r>
          </m:sub>
          <m:sup>
            <m:r>
              <w:rPr>
                <w:rFonts w:ascii="Cambria Math" w:hAnsi="Cambria Math"/>
                <w:sz w:val="20"/>
                <w:szCs w:val="22"/>
              </w:rPr>
              <m:t>y</m:t>
            </m:r>
          </m:sup>
        </m:sSubSup>
        <m:r>
          <w:rPr>
            <w:rFonts w:ascii="Cambria Math" w:hAnsi="Cambria Math"/>
            <w:sz w:val="20"/>
            <w:szCs w:val="22"/>
          </w:rPr>
          <m:t>+</m:t>
        </m:r>
        <m:sSubSup>
          <m:sSubSupPr>
            <m:ctrlPr>
              <w:rPr>
                <w:rFonts w:ascii="Cambria Math" w:hAnsi="Cambria Math"/>
                <w:i/>
                <w:sz w:val="20"/>
                <w:szCs w:val="22"/>
              </w:rPr>
            </m:ctrlPr>
          </m:sSubSupPr>
          <m:e>
            <m:r>
              <w:rPr>
                <w:rFonts w:ascii="Cambria Math" w:hAnsi="Cambria Math"/>
                <w:sz w:val="20"/>
                <w:szCs w:val="22"/>
              </w:rPr>
              <m:t>v</m:t>
            </m:r>
          </m:e>
          <m:sub>
            <m:r>
              <w:rPr>
                <w:rFonts w:ascii="Cambria Math" w:hAnsi="Cambria Math"/>
                <w:sz w:val="20"/>
                <w:szCs w:val="22"/>
              </w:rPr>
              <m:t>im</m:t>
            </m:r>
          </m:sub>
          <m:sup>
            <m:r>
              <w:rPr>
                <w:rFonts w:ascii="Cambria Math" w:hAnsi="Cambria Math"/>
                <w:sz w:val="20"/>
                <w:szCs w:val="22"/>
              </w:rPr>
              <m:t>y+1</m:t>
            </m:r>
          </m:sup>
        </m:sSubSup>
      </m:oMath>
      <w:r>
        <w:rPr>
          <w:rFonts w:ascii="Cambria Math" w:hAnsi="Cambria Math"/>
          <w:sz w:val="20"/>
          <w:szCs w:val="22"/>
        </w:rPr>
        <w:t xml:space="preserve">  </w:t>
      </w:r>
      <w:r>
        <w:rPr>
          <w:rFonts w:ascii="Cambria Math" w:hAnsi="Cambria Math"/>
          <w:sz w:val="20"/>
          <w:szCs w:val="22"/>
        </w:rPr>
        <w:tab/>
      </w:r>
      <w:r>
        <w:rPr>
          <w:rFonts w:ascii="Cambria Math" w:hAnsi="Cambria Math"/>
          <w:sz w:val="20"/>
          <w:szCs w:val="22"/>
        </w:rPr>
        <w:tab/>
        <w:t>(39)</w:t>
      </w:r>
    </w:p>
    <w:p w14:paraId="2B3E8321"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In the formulas, y represents the iteration number, and w is the inertia weight. C1 is the individual learning factor, and C2 is the group learning factor. r1 and r2 are random numbers in the interval [0, 1] that introduce randomness to the search process. </w:t>
      </w:r>
      <m:oMath>
        <m:sSubSup>
          <m:sSubSupPr>
            <m:ctrlPr>
              <w:rPr>
                <w:rFonts w:ascii="Cambria Math" w:hAnsi="Cambria Math"/>
                <w:sz w:val="20"/>
                <w:szCs w:val="20"/>
              </w:rPr>
            </m:ctrlPr>
          </m:sSubSupPr>
          <m:e>
            <m:r>
              <w:rPr>
                <w:rFonts w:ascii="Cambria Math" w:hAnsi="Cambria Math"/>
                <w:sz w:val="20"/>
                <w:szCs w:val="20"/>
              </w:rPr>
              <m:t>v</m:t>
            </m:r>
          </m:e>
          <m:sub>
            <m:r>
              <w:rPr>
                <w:rFonts w:ascii="Cambria Math" w:hAnsi="Cambria Math"/>
                <w:sz w:val="20"/>
                <w:szCs w:val="20"/>
              </w:rPr>
              <m:t>im</m:t>
            </m:r>
          </m:sub>
          <m:sup>
            <m:r>
              <w:rPr>
                <w:rFonts w:ascii="Cambria Math" w:hAnsi="Cambria Math"/>
                <w:sz w:val="20"/>
                <w:szCs w:val="20"/>
              </w:rPr>
              <m:t>y</m:t>
            </m:r>
          </m:sup>
        </m:sSubSup>
      </m:oMath>
      <w:r>
        <w:rPr>
          <w:rFonts w:ascii="Times New Roman" w:hAnsi="Times New Roman" w:hint="eastAsia"/>
          <w:sz w:val="20"/>
          <w:szCs w:val="20"/>
        </w:rPr>
        <w:t xml:space="preserve"> is the velocity vector of the m-th dimension for particle i during the y-th iteration. </w:t>
      </w:r>
      <m:oMath>
        <m:sSubSup>
          <m:sSubSupPr>
            <m:ctrlPr>
              <w:rPr>
                <w:rFonts w:ascii="Cambria Math" w:hAnsi="Cambria Math"/>
                <w:sz w:val="20"/>
                <w:szCs w:val="20"/>
              </w:rPr>
            </m:ctrlPr>
          </m:sSubSupPr>
          <m:e>
            <m:r>
              <w:rPr>
                <w:rFonts w:ascii="Cambria Math" w:hAnsi="Cambria Math"/>
                <w:sz w:val="20"/>
                <w:szCs w:val="20"/>
              </w:rPr>
              <m:t>x</m:t>
            </m:r>
          </m:e>
          <m:sub>
            <m:r>
              <w:rPr>
                <w:rFonts w:ascii="Cambria Math" w:hAnsi="Cambria Math"/>
                <w:sz w:val="20"/>
                <w:szCs w:val="20"/>
              </w:rPr>
              <m:t>im</m:t>
            </m:r>
          </m:sub>
          <m:sup>
            <m:r>
              <w:rPr>
                <w:rFonts w:ascii="Cambria Math" w:hAnsi="Cambria Math"/>
                <w:sz w:val="20"/>
                <w:szCs w:val="20"/>
              </w:rPr>
              <m:t>y</m:t>
            </m:r>
          </m:sup>
        </m:sSubSup>
      </m:oMath>
      <w:r>
        <w:rPr>
          <w:rFonts w:ascii="Times New Roman" w:hAnsi="Times New Roman" w:hint="eastAsia"/>
          <w:sz w:val="20"/>
          <w:szCs w:val="20"/>
        </w:rPr>
        <w:t xml:space="preserve"> is the position vector of the m-th dimension for particle i during the y-th iteration. After y iterations, the historical best position for the m-th dimension is recorded at two levels: the individual best </w:t>
      </w:r>
      <m:oMath>
        <m:sSubSup>
          <m:sSubSupPr>
            <m:ctrlPr>
              <w:rPr>
                <w:rFonts w:ascii="Cambria Math" w:hAnsi="Cambria Math"/>
                <w:sz w:val="20"/>
                <w:szCs w:val="20"/>
              </w:rPr>
            </m:ctrlPr>
          </m:sSubSupPr>
          <m:e>
            <m:r>
              <w:rPr>
                <w:rFonts w:ascii="Cambria Math" w:hAnsi="Cambria Math"/>
                <w:sz w:val="20"/>
                <w:szCs w:val="20"/>
              </w:rPr>
              <m:t>p</m:t>
            </m:r>
          </m:e>
          <m:sub>
            <m:r>
              <w:rPr>
                <w:rFonts w:ascii="Cambria Math" w:hAnsi="Cambria Math"/>
                <w:sz w:val="20"/>
                <w:szCs w:val="20"/>
              </w:rPr>
              <m:t>im</m:t>
            </m:r>
            <m:r>
              <m:rPr>
                <m:sty m:val="p"/>
              </m:rPr>
              <w:rPr>
                <w:rFonts w:ascii="Cambria Math" w:hAnsi="Cambria Math"/>
                <w:sz w:val="20"/>
                <w:szCs w:val="20"/>
              </w:rPr>
              <m:t>,</m:t>
            </m:r>
            <m:r>
              <w:rPr>
                <w:rFonts w:ascii="Cambria Math" w:hAnsi="Cambria Math"/>
                <w:sz w:val="20"/>
                <w:szCs w:val="20"/>
              </w:rPr>
              <m:t>pbest</m:t>
            </m:r>
          </m:sub>
          <m:sup>
            <m:r>
              <w:rPr>
                <w:rFonts w:ascii="Cambria Math" w:hAnsi="Cambria Math"/>
                <w:sz w:val="20"/>
                <w:szCs w:val="20"/>
              </w:rPr>
              <m:t>y</m:t>
            </m:r>
          </m:sup>
        </m:sSubSup>
      </m:oMath>
      <w:r>
        <w:rPr>
          <w:rFonts w:ascii="Times New Roman" w:hAnsi="Times New Roman" w:hint="eastAsia"/>
          <w:sz w:val="20"/>
          <w:szCs w:val="20"/>
        </w:rPr>
        <w:t xml:space="preserve"> (found by particle i) and the global best </w:t>
      </w:r>
      <m:oMath>
        <m:sSubSup>
          <m:sSubSupPr>
            <m:ctrlPr>
              <w:rPr>
                <w:rFonts w:ascii="Cambria Math" w:hAnsi="Cambria Math"/>
                <w:sz w:val="20"/>
                <w:szCs w:val="20"/>
              </w:rPr>
            </m:ctrlPr>
          </m:sSubSupPr>
          <m:e>
            <m:r>
              <w:rPr>
                <w:rFonts w:ascii="Cambria Math" w:hAnsi="Cambria Math"/>
                <w:sz w:val="20"/>
                <w:szCs w:val="20"/>
              </w:rPr>
              <m:t>p</m:t>
            </m:r>
          </m:e>
          <m:sub>
            <m:r>
              <w:rPr>
                <w:rFonts w:ascii="Cambria Math" w:hAnsi="Cambria Math"/>
                <w:sz w:val="20"/>
                <w:szCs w:val="20"/>
              </w:rPr>
              <m:t>m</m:t>
            </m:r>
            <m:r>
              <m:rPr>
                <m:sty m:val="p"/>
              </m:rPr>
              <w:rPr>
                <w:rFonts w:ascii="Cambria Math" w:hAnsi="Cambria Math"/>
                <w:sz w:val="20"/>
                <w:szCs w:val="20"/>
              </w:rPr>
              <m:t>,</m:t>
            </m:r>
            <m:r>
              <w:rPr>
                <w:rFonts w:ascii="Cambria Math" w:hAnsi="Cambria Math"/>
                <w:sz w:val="20"/>
                <w:szCs w:val="20"/>
              </w:rPr>
              <m:t>gbest</m:t>
            </m:r>
          </m:sub>
          <m:sup>
            <m:r>
              <w:rPr>
                <w:rFonts w:ascii="Cambria Math" w:hAnsi="Cambria Math"/>
                <w:sz w:val="20"/>
                <w:szCs w:val="20"/>
              </w:rPr>
              <m:t>y</m:t>
            </m:r>
          </m:sup>
        </m:sSubSup>
      </m:oMath>
      <w:r>
        <w:rPr>
          <w:rFonts w:ascii="Times New Roman" w:hAnsi="Times New Roman" w:hint="eastAsia"/>
          <w:sz w:val="20"/>
          <w:szCs w:val="20"/>
        </w:rPr>
        <w:t xml:space="preserve"> (found by the entire </w:t>
      </w:r>
      <w:r>
        <w:rPr>
          <w:rFonts w:ascii="Times New Roman" w:hAnsi="Times New Roman" w:hint="eastAsia"/>
          <w:sz w:val="20"/>
          <w:szCs w:val="20"/>
        </w:rPr>
        <w:lastRenderedPageBreak/>
        <w:t>swarm). The significant and hard-to-control influence of particle initial values is a key factor in shaping the PSO algorithm's optimization outcomes. Random initialization can lead to inconsistent results across multiple runs, failing to reliably converge to an optimum and potentially yielding invalid solutions. Hence, particle initialization is a critical step, as it effectively determines the initial search trajectory and thereby influences the entire process's convergence speed and direction.</w:t>
      </w:r>
    </w:p>
    <w:p w14:paraId="3CB70FC3" w14:textId="77777777" w:rsidR="00097C63" w:rsidRDefault="00FB6D14">
      <w:pPr>
        <w:ind w:firstLine="284"/>
        <w:rPr>
          <w:rFonts w:ascii="Times New Roman" w:hAnsi="Times New Roman"/>
          <w:sz w:val="20"/>
          <w:szCs w:val="20"/>
        </w:rPr>
      </w:pPr>
      <w:r>
        <w:rPr>
          <w:rFonts w:ascii="Times New Roman" w:hAnsi="Times New Roman" w:hint="eastAsia"/>
          <w:sz w:val="20"/>
          <w:szCs w:val="20"/>
        </w:rPr>
        <w:t>Given that the independent variables in this study are the initial preventive inspection interval D1, the subsequent preventive inspection interval D, and the PM threshold hp, the dimension of the particles (number of independent variables) is set to M=3. The remaining parameter settings are as follows: iteration y=80, population size N=100, inertia weight</w:t>
      </w:r>
      <w:r>
        <w:rPr>
          <w:rFonts w:ascii="Times New Roman" w:hAnsi="Times New Roman"/>
          <w:sz w:val="20"/>
          <w:szCs w:val="20"/>
        </w:rPr>
        <w:t> </w:t>
      </w:r>
      <w:r>
        <w:rPr>
          <w:rFonts w:ascii="Times New Roman" w:hAnsi="Times New Roman" w:hint="eastAsia"/>
          <w:sz w:val="20"/>
          <w:szCs w:val="20"/>
        </w:rPr>
        <w:t>w=1.1, learning factors C1=1.6 and C2=1.8.</w:t>
      </w:r>
    </w:p>
    <w:p w14:paraId="24FE9D61" w14:textId="77777777" w:rsidR="00097C63" w:rsidRDefault="00FB6D14">
      <w:pPr>
        <w:ind w:firstLine="284"/>
        <w:rPr>
          <w:rFonts w:ascii="Times New Roman" w:hAnsi="Times New Roman"/>
          <w:sz w:val="20"/>
          <w:szCs w:val="20"/>
        </w:rPr>
      </w:pPr>
      <w:r>
        <w:rPr>
          <w:rFonts w:ascii="Times New Roman" w:hAnsi="Times New Roman" w:hint="eastAsia"/>
          <w:sz w:val="20"/>
          <w:szCs w:val="20"/>
        </w:rPr>
        <w:t>Figure 3 shows the solving process of the PSO algorithm.</w:t>
      </w:r>
    </w:p>
    <w:p w14:paraId="03AE1323" w14:textId="77777777" w:rsidR="00097C63" w:rsidRDefault="00FB6D14">
      <w:pPr>
        <w:jc w:val="center"/>
      </w:pPr>
      <w:r>
        <w:rPr>
          <w:rFonts w:ascii="Times New Roman" w:hAnsi="Times New Roman"/>
          <w:noProof/>
          <w:szCs w:val="22"/>
          <w:lang w:val="pl-PL" w:eastAsia="pl-PL"/>
        </w:rPr>
        <w:drawing>
          <wp:inline distT="0" distB="0" distL="114300" distR="114300">
            <wp:extent cx="2519680" cy="2334895"/>
            <wp:effectExtent l="0" t="0" r="0" b="8255"/>
            <wp:docPr id="1"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9"/>
                    <pic:cNvPicPr>
                      <a:picLocks noChangeAspect="1"/>
                    </pic:cNvPicPr>
                  </pic:nvPicPr>
                  <pic:blipFill>
                    <a:blip r:embed="rId20"/>
                    <a:stretch>
                      <a:fillRect/>
                    </a:stretch>
                  </pic:blipFill>
                  <pic:spPr>
                    <a:xfrm>
                      <a:off x="0" y="0"/>
                      <a:ext cx="2520000" cy="2335437"/>
                    </a:xfrm>
                    <a:prstGeom prst="rect">
                      <a:avLst/>
                    </a:prstGeom>
                    <a:noFill/>
                    <a:ln>
                      <a:noFill/>
                    </a:ln>
                  </pic:spPr>
                </pic:pic>
              </a:graphicData>
            </a:graphic>
          </wp:inline>
        </w:drawing>
      </w:r>
    </w:p>
    <w:p w14:paraId="01BD7265" w14:textId="77777777" w:rsidR="00097C63" w:rsidRDefault="00FB6D14">
      <w:pPr>
        <w:jc w:val="center"/>
        <w:rPr>
          <w:rFonts w:ascii="Times New Roman" w:hAnsi="Times New Roman"/>
          <w:sz w:val="20"/>
          <w:szCs w:val="20"/>
        </w:rPr>
      </w:pPr>
      <w:r>
        <w:rPr>
          <w:rFonts w:ascii="Times New Roman" w:hAnsi="Times New Roman"/>
          <w:sz w:val="20"/>
          <w:szCs w:val="20"/>
        </w:rPr>
        <w:t xml:space="preserve">Figure 3. </w:t>
      </w:r>
      <w:r>
        <w:rPr>
          <w:rFonts w:ascii="Times New Roman" w:hAnsi="Times New Roman" w:hint="eastAsia"/>
          <w:sz w:val="20"/>
          <w:szCs w:val="20"/>
        </w:rPr>
        <w:t>Flowchart of PSO Algorithm Solution.</w:t>
      </w:r>
    </w:p>
    <w:p w14:paraId="285B68E9" w14:textId="77777777" w:rsidR="00097C63" w:rsidRDefault="00FB6D14">
      <w:pPr>
        <w:ind w:firstLine="284"/>
        <w:rPr>
          <w:rFonts w:ascii="Times New Roman" w:hAnsi="Times New Roman"/>
          <w:sz w:val="20"/>
          <w:szCs w:val="20"/>
        </w:rPr>
      </w:pPr>
      <w:r>
        <w:rPr>
          <w:rFonts w:ascii="Times New Roman" w:hAnsi="Times New Roman" w:hint="eastAsia"/>
          <w:sz w:val="20"/>
          <w:szCs w:val="20"/>
        </w:rPr>
        <w:t>Based on this, we can calculate the manufacturer's maximum warranty profit</w:t>
      </w:r>
      <w:r>
        <w:rPr>
          <w:rFonts w:ascii="Times New Roman" w:hAnsi="Times New Roman"/>
          <w:sz w:val="20"/>
          <w:szCs w:val="20"/>
        </w:rPr>
        <w:t xml:space="preserve"> </w:t>
      </w:r>
      <w:r>
        <w:rPr>
          <w:rFonts w:ascii="Times New Roman" w:hAnsi="Times New Roman" w:hint="eastAsia"/>
          <w:sz w:val="20"/>
          <w:szCs w:val="20"/>
        </w:rPr>
        <w:t>(EP)</w:t>
      </w:r>
      <w:r>
        <w:rPr>
          <w:rFonts w:ascii="Times New Roman" w:hAnsi="Times New Roman"/>
          <w:sz w:val="20"/>
          <w:szCs w:val="20"/>
        </w:rPr>
        <w:t xml:space="preserve"> and the corresponding optimal decision variable combination</w:t>
      </w:r>
      <w:r>
        <w:rPr>
          <w:rFonts w:ascii="Times New Roman" w:hAnsi="Times New Roman" w:hint="eastAsia"/>
          <w:sz w:val="20"/>
          <w:szCs w:val="20"/>
        </w:rPr>
        <w:t xml:space="preserve"> (D1, D, hp) using a MATLAB program</w:t>
      </w:r>
      <w:r>
        <w:rPr>
          <w:rFonts w:ascii="Times New Roman" w:hAnsi="Times New Roman"/>
          <w:sz w:val="20"/>
          <w:szCs w:val="20"/>
        </w:rPr>
        <w:t xml:space="preserve">. Additionally, using the performance warranty decision model, we can further determine the manufacturer's warranty cost </w:t>
      </w:r>
      <w:r>
        <w:rPr>
          <w:rFonts w:ascii="Times New Roman" w:hAnsi="Times New Roman" w:hint="eastAsia"/>
          <w:sz w:val="20"/>
          <w:szCs w:val="20"/>
        </w:rPr>
        <w:t>(EC)</w:t>
      </w:r>
      <w:r>
        <w:rPr>
          <w:rFonts w:ascii="Times New Roman" w:hAnsi="Times New Roman"/>
          <w:sz w:val="20"/>
          <w:szCs w:val="20"/>
        </w:rPr>
        <w:t xml:space="preserve"> and</w:t>
      </w:r>
      <w:r>
        <w:rPr>
          <w:rFonts w:ascii="Times New Roman" w:hAnsi="Times New Roman" w:hint="eastAsia"/>
          <w:sz w:val="20"/>
          <w:szCs w:val="20"/>
        </w:rPr>
        <w:t xml:space="preserve"> </w:t>
      </w:r>
      <w:r>
        <w:rPr>
          <w:rFonts w:ascii="Times New Roman" w:hAnsi="Times New Roman"/>
          <w:sz w:val="20"/>
          <w:szCs w:val="20"/>
        </w:rPr>
        <w:t xml:space="preserve">manufacturer's total profit </w:t>
      </w:r>
      <w:r>
        <w:rPr>
          <w:rFonts w:ascii="Times New Roman" w:hAnsi="Times New Roman" w:hint="eastAsia"/>
          <w:sz w:val="20"/>
          <w:szCs w:val="20"/>
        </w:rPr>
        <w:t>(Gm).</w:t>
      </w:r>
    </w:p>
    <w:p w14:paraId="2F2B582B" w14:textId="77777777" w:rsidR="00097C63" w:rsidRDefault="00FB6D14">
      <w:pPr>
        <w:pStyle w:val="Nagwek1"/>
      </w:pPr>
      <w:r>
        <w:rPr>
          <w:rFonts w:hint="eastAsia"/>
        </w:rPr>
        <w:t>Case validation and result analysis</w:t>
      </w:r>
    </w:p>
    <w:p w14:paraId="552523F5" w14:textId="77777777" w:rsidR="00097C63" w:rsidRDefault="00FB6D14">
      <w:pPr>
        <w:rPr>
          <w:rFonts w:ascii="Times New Roman" w:hAnsi="Times New Roman"/>
          <w:sz w:val="20"/>
          <w:szCs w:val="20"/>
        </w:rPr>
      </w:pPr>
      <w:r>
        <w:rPr>
          <w:rFonts w:ascii="Times New Roman" w:hAnsi="Times New Roman"/>
          <w:sz w:val="20"/>
          <w:szCs w:val="20"/>
        </w:rPr>
        <w:t xml:space="preserve">This section takes a large construction machinery fuel engine as the research object, and uses the PSO algorithm to solve the PWS optimization model constructed, obtaining the optimal PWS implementation plan. By comparing and analyzing the PWS with the minimum warranty cost strategy and the fixed-cycle inspection strategy, it was found that the PWS enables manufacturers to achieve higher warranty profits, thereby verifying the superiority of the strategy proposed in this article. </w:t>
      </w:r>
      <w:r>
        <w:rPr>
          <w:rFonts w:ascii="Times New Roman" w:hAnsi="Times New Roman"/>
          <w:sz w:val="20"/>
          <w:szCs w:val="20"/>
        </w:rPr>
        <w:t>In addition, to further explore the sensitivity of model parameters, this section systematically analyzed the impact of key parameter changes on the manufacturer's optimal performance warranty profit.</w:t>
      </w:r>
    </w:p>
    <w:p w14:paraId="0225A9B5" w14:textId="77777777" w:rsidR="00097C63" w:rsidRDefault="00FB6D14">
      <w:pPr>
        <w:pStyle w:val="Nagwek2"/>
      </w:pPr>
      <w:r>
        <w:t xml:space="preserve">6.1. </w:t>
      </w:r>
      <w:r>
        <w:rPr>
          <w:rFonts w:hint="eastAsia"/>
        </w:rPr>
        <w:t>Optimal performance warranty strategy and comparative analysis</w:t>
      </w:r>
    </w:p>
    <w:p w14:paraId="119B928C" w14:textId="77777777" w:rsidR="00097C63" w:rsidRDefault="00FB6D14">
      <w:pPr>
        <w:rPr>
          <w:rFonts w:ascii="Times New Roman" w:hAnsi="Times New Roman"/>
          <w:sz w:val="20"/>
          <w:szCs w:val="20"/>
        </w:rPr>
      </w:pPr>
      <w:r>
        <w:rPr>
          <w:rFonts w:ascii="Times New Roman" w:hAnsi="Times New Roman" w:hint="eastAsia"/>
          <w:sz w:val="20"/>
          <w:szCs w:val="20"/>
        </w:rPr>
        <w:t>Considering that the degradation process of a large fuel engine follows the IG distribution law, as a core component in engineering machinery systems, its maintenance cost and time investment are significantly higher than those of other ordinary components. To ensure the reliable operation of equipment, it is necessary to systematically monitor and assess its degradation. The time is measured by month, and the cost is measured by 10</w:t>
      </w:r>
      <w:r>
        <w:rPr>
          <w:rFonts w:ascii="Times New Roman" w:hAnsi="Times New Roman" w:hint="eastAsia"/>
          <w:sz w:val="20"/>
          <w:szCs w:val="20"/>
          <w:vertAlign w:val="superscript"/>
        </w:rPr>
        <w:t>4</w:t>
      </w:r>
      <w:r>
        <w:rPr>
          <w:rFonts w:ascii="Times New Roman" w:hAnsi="Times New Roman" w:hint="eastAsia"/>
          <w:sz w:val="20"/>
          <w:szCs w:val="20"/>
        </w:rPr>
        <w:t xml:space="preserve"> RMB. The performance warranty period of this component is </w:t>
      </w:r>
      <w:r>
        <w:rPr>
          <w:rFonts w:ascii="Times New Roman" w:hAnsi="Times New Roman" w:hint="eastAsia"/>
          <w:i/>
          <w:iCs/>
          <w:sz w:val="20"/>
          <w:szCs w:val="20"/>
        </w:rPr>
        <w:t>W</w:t>
      </w:r>
      <w:r>
        <w:rPr>
          <w:rFonts w:ascii="Times New Roman" w:hAnsi="Times New Roman" w:hint="eastAsia"/>
          <w:sz w:val="20"/>
          <w:szCs w:val="20"/>
        </w:rPr>
        <w:t xml:space="preserve">=72, the mean parameter of the IG degradation process is </w:t>
      </w:r>
      <w:r>
        <w:rPr>
          <w:rFonts w:ascii="Times New Roman" w:hAnsi="Times New Roman" w:hint="eastAsia"/>
          <w:i/>
          <w:iCs/>
          <w:sz w:val="20"/>
          <w:szCs w:val="20"/>
        </w:rPr>
        <w:t>u</w:t>
      </w:r>
      <w:r>
        <w:rPr>
          <w:rFonts w:ascii="Times New Roman" w:hAnsi="Times New Roman" w:hint="eastAsia"/>
          <w:sz w:val="20"/>
          <w:szCs w:val="20"/>
        </w:rPr>
        <w:t xml:space="preserve">=1.6, the shape parameter is </w:t>
      </w:r>
      <w:r>
        <w:rPr>
          <w:rFonts w:ascii="Times New Roman" w:hAnsi="Times New Roman"/>
          <w:i/>
          <w:iCs/>
          <w:sz w:val="20"/>
          <w:szCs w:val="20"/>
        </w:rPr>
        <w:t>λ</w:t>
      </w:r>
      <w:r>
        <w:rPr>
          <w:rFonts w:ascii="Times New Roman" w:hAnsi="Times New Roman" w:hint="eastAsia"/>
          <w:sz w:val="20"/>
          <w:szCs w:val="20"/>
        </w:rPr>
        <w:t xml:space="preserve">=0.8, and the probability of perfect PM is </w:t>
      </w:r>
      <w:r>
        <w:rPr>
          <w:rFonts w:ascii="Times New Roman" w:hAnsi="Times New Roman" w:hint="eastAsia"/>
          <w:i/>
          <w:iCs/>
          <w:sz w:val="20"/>
          <w:szCs w:val="20"/>
        </w:rPr>
        <w:t>p</w:t>
      </w:r>
      <w:r>
        <w:rPr>
          <w:rFonts w:ascii="Times New Roman" w:hAnsi="Times New Roman" w:hint="eastAsia"/>
          <w:sz w:val="20"/>
          <w:szCs w:val="20"/>
        </w:rPr>
        <w:t xml:space="preserve">=0.9. The average time for each PM is </w:t>
      </w:r>
      <w:r>
        <w:rPr>
          <w:rFonts w:ascii="Times New Roman" w:hAnsi="Times New Roman" w:hint="eastAsia"/>
          <w:i/>
          <w:iCs/>
          <w:sz w:val="20"/>
          <w:szCs w:val="20"/>
        </w:rPr>
        <w:t>T</w:t>
      </w:r>
      <w:r>
        <w:rPr>
          <w:rFonts w:ascii="Times New Roman" w:hAnsi="Times New Roman" w:hint="eastAsia"/>
          <w:i/>
          <w:iCs/>
          <w:sz w:val="20"/>
          <w:szCs w:val="20"/>
          <w:vertAlign w:val="subscript"/>
        </w:rPr>
        <w:t>p</w:t>
      </w:r>
      <w:r>
        <w:rPr>
          <w:rFonts w:ascii="Times New Roman" w:hAnsi="Times New Roman" w:hint="eastAsia"/>
          <w:sz w:val="20"/>
          <w:szCs w:val="20"/>
        </w:rPr>
        <w:t xml:space="preserve">=2.1, and the average cost for each PM is </w:t>
      </w:r>
      <w:r>
        <w:rPr>
          <w:rFonts w:ascii="Times New Roman" w:hAnsi="Times New Roman" w:hint="eastAsia"/>
          <w:i/>
          <w:iCs/>
          <w:sz w:val="20"/>
          <w:szCs w:val="20"/>
        </w:rPr>
        <w:t>C</w:t>
      </w:r>
      <w:r>
        <w:rPr>
          <w:rFonts w:ascii="Times New Roman" w:hAnsi="Times New Roman" w:hint="eastAsia"/>
          <w:i/>
          <w:iCs/>
          <w:sz w:val="20"/>
          <w:szCs w:val="20"/>
          <w:vertAlign w:val="subscript"/>
        </w:rPr>
        <w:t>p</w:t>
      </w:r>
      <w:r>
        <w:rPr>
          <w:rFonts w:ascii="Times New Roman" w:hAnsi="Times New Roman" w:hint="eastAsia"/>
          <w:sz w:val="20"/>
          <w:szCs w:val="20"/>
        </w:rPr>
        <w:t xml:space="preserve">=40. The average time per repair is </w:t>
      </w:r>
      <w:r>
        <w:rPr>
          <w:rFonts w:ascii="Times New Roman" w:hAnsi="Times New Roman" w:hint="eastAsia"/>
          <w:i/>
          <w:iCs/>
          <w:sz w:val="20"/>
          <w:szCs w:val="20"/>
        </w:rPr>
        <w:t>T</w:t>
      </w:r>
      <w:r>
        <w:rPr>
          <w:rFonts w:ascii="Times New Roman" w:hAnsi="Times New Roman" w:hint="eastAsia"/>
          <w:i/>
          <w:iCs/>
          <w:sz w:val="20"/>
          <w:szCs w:val="20"/>
          <w:vertAlign w:val="subscript"/>
        </w:rPr>
        <w:t>c</w:t>
      </w:r>
      <w:r>
        <w:rPr>
          <w:rFonts w:ascii="Times New Roman" w:hAnsi="Times New Roman" w:hint="eastAsia"/>
          <w:sz w:val="20"/>
          <w:szCs w:val="20"/>
        </w:rPr>
        <w:t xml:space="preserve">=5.5, and the cost per repair is </w:t>
      </w:r>
      <w:r>
        <w:rPr>
          <w:rFonts w:ascii="Times New Roman" w:hAnsi="Times New Roman" w:hint="eastAsia"/>
          <w:i/>
          <w:iCs/>
          <w:sz w:val="20"/>
          <w:szCs w:val="20"/>
        </w:rPr>
        <w:t>C</w:t>
      </w:r>
      <w:r>
        <w:rPr>
          <w:rFonts w:ascii="Times New Roman" w:hAnsi="Times New Roman" w:hint="eastAsia"/>
          <w:i/>
          <w:iCs/>
          <w:sz w:val="20"/>
          <w:szCs w:val="20"/>
          <w:vertAlign w:val="subscript"/>
        </w:rPr>
        <w:t>c</w:t>
      </w:r>
      <w:r>
        <w:rPr>
          <w:rFonts w:ascii="Times New Roman" w:hAnsi="Times New Roman" w:hint="eastAsia"/>
          <w:sz w:val="20"/>
          <w:szCs w:val="20"/>
        </w:rPr>
        <w:t xml:space="preserve">=190. The single inspection time is </w:t>
      </w:r>
      <w:r>
        <w:rPr>
          <w:rFonts w:ascii="Times New Roman" w:hAnsi="Times New Roman" w:hint="eastAsia"/>
          <w:i/>
          <w:iCs/>
          <w:sz w:val="20"/>
          <w:szCs w:val="20"/>
        </w:rPr>
        <w:t>T</w:t>
      </w:r>
      <w:r>
        <w:rPr>
          <w:rFonts w:ascii="Times New Roman" w:hAnsi="Times New Roman" w:hint="eastAsia"/>
          <w:i/>
          <w:iCs/>
          <w:sz w:val="20"/>
          <w:szCs w:val="20"/>
          <w:vertAlign w:val="subscript"/>
        </w:rPr>
        <w:t xml:space="preserve">j </w:t>
      </w:r>
      <w:r>
        <w:rPr>
          <w:rFonts w:ascii="Times New Roman" w:hAnsi="Times New Roman" w:hint="eastAsia"/>
          <w:sz w:val="20"/>
          <w:szCs w:val="20"/>
        </w:rPr>
        <w:t xml:space="preserve">=0.25, the single inspection cost is </w:t>
      </w:r>
      <w:r>
        <w:rPr>
          <w:rFonts w:ascii="Times New Roman" w:hAnsi="Times New Roman" w:hint="eastAsia"/>
          <w:i/>
          <w:iCs/>
          <w:sz w:val="20"/>
          <w:szCs w:val="20"/>
        </w:rPr>
        <w:t>C</w:t>
      </w:r>
      <w:r>
        <w:rPr>
          <w:rFonts w:ascii="Times New Roman" w:hAnsi="Times New Roman" w:hint="eastAsia"/>
          <w:i/>
          <w:iCs/>
          <w:sz w:val="20"/>
          <w:szCs w:val="20"/>
          <w:vertAlign w:val="subscript"/>
        </w:rPr>
        <w:t xml:space="preserve">j </w:t>
      </w:r>
      <w:r>
        <w:rPr>
          <w:rFonts w:ascii="Times New Roman" w:hAnsi="Times New Roman" w:hint="eastAsia"/>
          <w:sz w:val="20"/>
          <w:szCs w:val="20"/>
        </w:rPr>
        <w:t xml:space="preserve">=3.2, the fixed income is </w:t>
      </w:r>
      <m:oMath>
        <m:r>
          <w:rPr>
            <w:rFonts w:ascii="Cambria Math" w:hAnsi="Cambria Math"/>
            <w:sz w:val="20"/>
            <w:szCs w:val="20"/>
          </w:rPr>
          <m:t>ϖ</m:t>
        </m:r>
      </m:oMath>
      <w:r>
        <w:rPr>
          <w:rFonts w:ascii="Times New Roman" w:hAnsi="Times New Roman" w:hint="eastAsia"/>
          <w:i/>
          <w:iCs/>
          <w:sz w:val="20"/>
          <w:szCs w:val="20"/>
        </w:rPr>
        <w:t xml:space="preserve"> =</w:t>
      </w:r>
      <w:r>
        <w:rPr>
          <w:rFonts w:ascii="Times New Roman" w:hAnsi="Times New Roman" w:hint="eastAsia"/>
          <w:sz w:val="20"/>
          <w:szCs w:val="20"/>
        </w:rPr>
        <w:t xml:space="preserve">2, the reward income coefficient is </w:t>
      </w:r>
      <m:oMath>
        <m:r>
          <w:rPr>
            <w:rFonts w:ascii="Cambria Math" w:hAnsi="Cambria Math"/>
            <w:sz w:val="20"/>
            <w:szCs w:val="20"/>
          </w:rPr>
          <m:t>ϖ</m:t>
        </m:r>
      </m:oMath>
      <w:r>
        <w:rPr>
          <w:rFonts w:ascii="Times New Roman" w:hAnsi="Times New Roman" w:hint="eastAsia"/>
          <w:sz w:val="20"/>
          <w:szCs w:val="20"/>
        </w:rPr>
        <w:t xml:space="preserve"> =21, and the minimum acceptable usability for users is </w:t>
      </w:r>
      <w:r>
        <w:rPr>
          <w:rFonts w:ascii="Times New Roman" w:hAnsi="Times New Roman" w:hint="eastAsia"/>
          <w:i/>
          <w:iCs/>
          <w:sz w:val="20"/>
          <w:szCs w:val="20"/>
        </w:rPr>
        <w:t>A</w:t>
      </w:r>
      <w:r>
        <w:rPr>
          <w:rFonts w:ascii="Times New Roman" w:hAnsi="Times New Roman" w:hint="eastAsia"/>
          <w:sz w:val="20"/>
          <w:szCs w:val="20"/>
          <w:vertAlign w:val="subscript"/>
        </w:rPr>
        <w:t>min</w:t>
      </w:r>
      <w:r>
        <w:rPr>
          <w:rFonts w:ascii="Times New Roman" w:hAnsi="Times New Roman" w:hint="eastAsia"/>
          <w:sz w:val="20"/>
          <w:szCs w:val="20"/>
        </w:rPr>
        <w:t>=0.7. In the parameters of the product demand function,</w:t>
      </w:r>
      <m:oMath>
        <m:sSub>
          <m:sSubPr>
            <m:ctrlPr>
              <w:rPr>
                <w:rFonts w:ascii="Cambria Math" w:hAnsi="Cambria Math"/>
                <w:i/>
                <w:sz w:val="20"/>
                <w:szCs w:val="20"/>
              </w:rPr>
            </m:ctrlPr>
          </m:sSubPr>
          <m:e>
            <m:r>
              <w:rPr>
                <w:rFonts w:ascii="Cambria Math" w:hAnsi="Cambria Math"/>
                <w:sz w:val="20"/>
                <w:szCs w:val="20"/>
              </w:rPr>
              <m:t>ϑ</m:t>
            </m:r>
          </m:e>
          <m:sub>
            <m:r>
              <w:rPr>
                <w:rFonts w:ascii="Cambria Math" w:hAnsi="Cambria Math"/>
                <w:sz w:val="20"/>
                <w:szCs w:val="20"/>
              </w:rPr>
              <m:t>1</m:t>
            </m:r>
          </m:sub>
        </m:sSub>
        <m:r>
          <w:rPr>
            <w:rFonts w:ascii="Cambria Math" w:hAnsi="Cambria Math"/>
            <w:sz w:val="20"/>
            <w:szCs w:val="20"/>
          </w:rPr>
          <m:t>=8×1</m:t>
        </m:r>
        <m:sSup>
          <m:sSupPr>
            <m:ctrlPr>
              <w:rPr>
                <w:rFonts w:ascii="Cambria Math" w:hAnsi="Cambria Math"/>
                <w:i/>
                <w:sz w:val="20"/>
                <w:szCs w:val="20"/>
              </w:rPr>
            </m:ctrlPr>
          </m:sSupPr>
          <m:e>
            <m:r>
              <w:rPr>
                <w:rFonts w:ascii="Cambria Math" w:hAnsi="Cambria Math"/>
                <w:sz w:val="20"/>
                <w:szCs w:val="20"/>
              </w:rPr>
              <m:t>0</m:t>
            </m:r>
          </m:e>
          <m:sup>
            <m:r>
              <w:rPr>
                <w:rFonts w:ascii="Cambria Math" w:hAnsi="Cambria Math"/>
                <w:sz w:val="20"/>
                <w:szCs w:val="20"/>
              </w:rPr>
              <m:t>9</m:t>
            </m:r>
          </m:sup>
        </m:sSup>
      </m:oMath>
      <w:r>
        <w:rPr>
          <w:rFonts w:ascii="Times New Roman" w:hAnsi="Times New Roman" w:hint="eastAsia"/>
          <w:sz w:val="20"/>
          <w:szCs w:val="20"/>
        </w:rPr>
        <w:t xml:space="preserve">, </w:t>
      </w:r>
      <m:oMath>
        <m:sSub>
          <m:sSubPr>
            <m:ctrlPr>
              <w:rPr>
                <w:rFonts w:ascii="Cambria Math" w:hAnsi="Cambria Math"/>
                <w:i/>
                <w:sz w:val="20"/>
                <w:szCs w:val="20"/>
              </w:rPr>
            </m:ctrlPr>
          </m:sSubPr>
          <m:e>
            <m:r>
              <w:rPr>
                <w:rFonts w:ascii="Cambria Math" w:hAnsi="Cambria Math"/>
                <w:sz w:val="20"/>
                <w:szCs w:val="20"/>
              </w:rPr>
              <m:t>ϑ</m:t>
            </m:r>
          </m:e>
          <m:sub>
            <m:r>
              <w:rPr>
                <w:rFonts w:ascii="Cambria Math" w:hAnsi="Cambria Math"/>
                <w:sz w:val="20"/>
                <w:szCs w:val="20"/>
              </w:rPr>
              <m:t>2</m:t>
            </m:r>
          </m:sub>
        </m:sSub>
        <m:r>
          <w:rPr>
            <w:rFonts w:ascii="Cambria Math" w:hAnsi="Cambria Math"/>
            <w:sz w:val="20"/>
            <w:szCs w:val="20"/>
          </w:rPr>
          <m:t>=0.6</m:t>
        </m:r>
      </m:oMath>
      <w:r>
        <w:rPr>
          <w:rFonts w:ascii="Times New Roman" w:hAnsi="Times New Roman" w:hint="eastAsia"/>
          <w:sz w:val="20"/>
          <w:szCs w:val="20"/>
        </w:rPr>
        <w:t xml:space="preserve">, </w:t>
      </w:r>
      <m:oMath>
        <m:sSub>
          <m:sSubPr>
            <m:ctrlPr>
              <w:rPr>
                <w:rFonts w:ascii="Cambria Math" w:hAnsi="Cambria Math"/>
                <w:i/>
                <w:sz w:val="20"/>
                <w:szCs w:val="20"/>
              </w:rPr>
            </m:ctrlPr>
          </m:sSubPr>
          <m:e>
            <m:r>
              <w:rPr>
                <w:rFonts w:ascii="Cambria Math" w:hAnsi="Cambria Math"/>
                <w:sz w:val="20"/>
                <w:szCs w:val="20"/>
              </w:rPr>
              <m:t>ϑ</m:t>
            </m:r>
          </m:e>
          <m:sub>
            <m:r>
              <w:rPr>
                <w:rFonts w:ascii="Cambria Math" w:hAnsi="Cambria Math"/>
                <w:sz w:val="20"/>
                <w:szCs w:val="20"/>
              </w:rPr>
              <m:t>3</m:t>
            </m:r>
          </m:sub>
        </m:sSub>
        <m:r>
          <w:rPr>
            <w:rFonts w:ascii="Cambria Math" w:hAnsi="Cambria Math"/>
            <w:sz w:val="20"/>
            <w:szCs w:val="20"/>
          </w:rPr>
          <m:t>=0.02</m:t>
        </m:r>
      </m:oMath>
      <w:r>
        <w:rPr>
          <w:rFonts w:ascii="Times New Roman" w:hAnsi="Times New Roman" w:hint="eastAsia"/>
          <w:sz w:val="20"/>
          <w:szCs w:val="20"/>
        </w:rPr>
        <w:t xml:space="preserve">, </w:t>
      </w:r>
      <m:oMath>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1</m:t>
            </m:r>
          </m:sub>
        </m:sSub>
        <m:r>
          <w:rPr>
            <w:rFonts w:ascii="Cambria Math" w:hAnsi="Cambria Math"/>
            <w:sz w:val="20"/>
            <w:szCs w:val="20"/>
          </w:rPr>
          <m:t>=1.69</m:t>
        </m:r>
      </m:oMath>
      <w:r>
        <w:rPr>
          <w:rFonts w:ascii="Times New Roman" w:hAnsi="Times New Roman" w:hint="eastAsia"/>
          <w:sz w:val="20"/>
          <w:szCs w:val="20"/>
        </w:rPr>
        <w:t xml:space="preserve">, </w:t>
      </w:r>
      <m:oMath>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2</m:t>
            </m:r>
          </m:sub>
        </m:sSub>
        <m:r>
          <w:rPr>
            <w:rFonts w:ascii="Cambria Math" w:hAnsi="Cambria Math"/>
            <w:sz w:val="20"/>
            <w:szCs w:val="20"/>
          </w:rPr>
          <m:t>=0.2</m:t>
        </m:r>
      </m:oMath>
      <w:r>
        <w:rPr>
          <w:rFonts w:ascii="Times New Roman" w:hAnsi="Times New Roman" w:hint="eastAsia"/>
          <w:sz w:val="20"/>
          <w:szCs w:val="20"/>
        </w:rPr>
        <w:t xml:space="preserve">, </w:t>
      </w:r>
      <m:oMath>
        <m:sSub>
          <m:sSubPr>
            <m:ctrlPr>
              <w:rPr>
                <w:rFonts w:ascii="Cambria Math" w:hAnsi="Cambria Math"/>
                <w:i/>
                <w:sz w:val="20"/>
                <w:szCs w:val="20"/>
              </w:rPr>
            </m:ctrlPr>
          </m:sSubPr>
          <m:e>
            <m:r>
              <w:rPr>
                <w:rFonts w:ascii="Cambria Math" w:hAnsi="Cambria Math"/>
                <w:sz w:val="20"/>
                <w:szCs w:val="20"/>
              </w:rPr>
              <m:t>ξ</m:t>
            </m:r>
          </m:e>
          <m:sub>
            <m:r>
              <w:rPr>
                <w:rFonts w:ascii="Cambria Math" w:hAnsi="Cambria Math"/>
                <w:sz w:val="20"/>
                <w:szCs w:val="20"/>
              </w:rPr>
              <m:t>3</m:t>
            </m:r>
          </m:sub>
        </m:sSub>
        <m:r>
          <w:rPr>
            <w:rFonts w:ascii="Cambria Math" w:hAnsi="Cambria Math"/>
            <w:sz w:val="20"/>
            <w:szCs w:val="20"/>
          </w:rPr>
          <m:t>=0.03</m:t>
        </m:r>
      </m:oMath>
      <w:r>
        <w:rPr>
          <w:rFonts w:ascii="Times New Roman" w:hAnsi="Times New Roman" w:hint="eastAsia"/>
          <w:sz w:val="20"/>
          <w:szCs w:val="20"/>
        </w:rPr>
        <w:t xml:space="preserve">, </w:t>
      </w:r>
      <m:oMath>
        <m:r>
          <w:rPr>
            <w:rFonts w:ascii="Cambria Math" w:hAnsi="Cambria Math"/>
            <w:sz w:val="20"/>
            <w:szCs w:val="20"/>
          </w:rPr>
          <m:t>Cs=585</m:t>
        </m:r>
      </m:oMath>
      <w:r>
        <w:rPr>
          <w:rFonts w:ascii="Times New Roman" w:hAnsi="Times New Roman" w:hint="eastAsia"/>
          <w:sz w:val="20"/>
          <w:szCs w:val="20"/>
        </w:rPr>
        <w:t>.</w:t>
      </w:r>
    </w:p>
    <w:p w14:paraId="1851C97F" w14:textId="77777777" w:rsidR="00097C63" w:rsidRDefault="00FB6D14">
      <w:pPr>
        <w:ind w:firstLine="284"/>
        <w:rPr>
          <w:rFonts w:ascii="Times New Roman" w:hAnsi="Times New Roman"/>
          <w:sz w:val="20"/>
          <w:szCs w:val="20"/>
        </w:rPr>
      </w:pPr>
      <w:r>
        <w:rPr>
          <w:rFonts w:ascii="Times New Roman" w:hAnsi="Times New Roman" w:hint="eastAsia"/>
          <w:sz w:val="20"/>
          <w:szCs w:val="20"/>
        </w:rPr>
        <w:t xml:space="preserve">By incorporating the above parameters into the model and solving it using the PSO algorithm, the optimal warranty plan for PWS is obtained as follows: </w:t>
      </w:r>
      <w:r>
        <w:rPr>
          <w:rFonts w:ascii="Times New Roman" w:hAnsi="Times New Roman" w:hint="eastAsia"/>
          <w:i/>
          <w:iCs/>
          <w:sz w:val="20"/>
          <w:szCs w:val="20"/>
        </w:rPr>
        <w:t>D</w:t>
      </w:r>
      <w:r>
        <w:rPr>
          <w:rFonts w:ascii="Times New Roman" w:hAnsi="Times New Roman" w:hint="eastAsia"/>
          <w:i/>
          <w:iCs/>
          <w:sz w:val="20"/>
          <w:szCs w:val="20"/>
          <w:vertAlign w:val="subscript"/>
        </w:rPr>
        <w:t>1</w:t>
      </w:r>
      <w:r>
        <w:rPr>
          <w:rFonts w:ascii="Times New Roman" w:hAnsi="Times New Roman" w:hint="eastAsia"/>
          <w:sz w:val="20"/>
          <w:szCs w:val="20"/>
        </w:rPr>
        <w:t xml:space="preserve">=19.32, </w:t>
      </w:r>
      <w:r>
        <w:rPr>
          <w:rFonts w:ascii="Times New Roman" w:hAnsi="Times New Roman" w:hint="eastAsia"/>
          <w:i/>
          <w:iCs/>
          <w:sz w:val="20"/>
          <w:szCs w:val="20"/>
        </w:rPr>
        <w:t>D</w:t>
      </w:r>
      <w:r>
        <w:rPr>
          <w:rFonts w:ascii="Times New Roman" w:hAnsi="Times New Roman" w:hint="eastAsia"/>
          <w:sz w:val="20"/>
          <w:szCs w:val="20"/>
        </w:rPr>
        <w:t xml:space="preserve">=3.98, </w:t>
      </w:r>
      <w:r>
        <w:rPr>
          <w:rFonts w:ascii="Times New Roman" w:hAnsi="Times New Roman" w:hint="eastAsia"/>
          <w:i/>
          <w:iCs/>
          <w:sz w:val="20"/>
          <w:szCs w:val="20"/>
        </w:rPr>
        <w:t>h</w:t>
      </w:r>
      <w:r>
        <w:rPr>
          <w:rFonts w:ascii="Times New Roman" w:hAnsi="Times New Roman"/>
          <w:i/>
          <w:iCs/>
          <w:sz w:val="20"/>
          <w:szCs w:val="20"/>
          <w:vertAlign w:val="subscript"/>
        </w:rPr>
        <w:t>p</w:t>
      </w:r>
      <w:r>
        <w:rPr>
          <w:rFonts w:ascii="Times New Roman" w:hAnsi="Times New Roman" w:hint="eastAsia"/>
          <w:sz w:val="20"/>
          <w:szCs w:val="20"/>
        </w:rPr>
        <w:t xml:space="preserve">=38.01. At this point, the maximum performance warranty profit for the manufacturer is </w:t>
      </w:r>
      <w:r>
        <w:rPr>
          <w:rFonts w:ascii="Times New Roman" w:hAnsi="Times New Roman" w:hint="eastAsia"/>
          <w:i/>
          <w:iCs/>
          <w:sz w:val="20"/>
          <w:szCs w:val="20"/>
        </w:rPr>
        <w:t>EP=</w:t>
      </w:r>
      <w:r>
        <w:rPr>
          <w:rFonts w:ascii="Times New Roman" w:hAnsi="Times New Roman" w:hint="eastAsia"/>
          <w:sz w:val="20"/>
          <w:szCs w:val="20"/>
        </w:rPr>
        <w:t xml:space="preserve">3.95, and warranty cost can be further calculated as </w:t>
      </w:r>
      <w:r>
        <w:rPr>
          <w:rFonts w:ascii="Times New Roman" w:hAnsi="Times New Roman" w:hint="eastAsia"/>
          <w:i/>
          <w:iCs/>
          <w:sz w:val="20"/>
          <w:szCs w:val="20"/>
        </w:rPr>
        <w:t>EC=</w:t>
      </w:r>
      <w:r>
        <w:rPr>
          <w:rFonts w:ascii="Times New Roman" w:hAnsi="Times New Roman" w:hint="eastAsia"/>
          <w:sz w:val="20"/>
          <w:szCs w:val="20"/>
        </w:rPr>
        <w:t xml:space="preserve">2.30, with the total profit for the manufacturer being </w:t>
      </w:r>
      <w:r>
        <w:rPr>
          <w:rFonts w:ascii="Times New Roman" w:hAnsi="Times New Roman" w:hint="eastAsia"/>
          <w:i/>
          <w:iCs/>
          <w:sz w:val="20"/>
          <w:szCs w:val="20"/>
        </w:rPr>
        <w:t>G</w:t>
      </w:r>
      <w:r>
        <w:rPr>
          <w:rFonts w:ascii="Times New Roman" w:hAnsi="Times New Roman" w:hint="eastAsia"/>
          <w:i/>
          <w:iCs/>
          <w:sz w:val="20"/>
          <w:szCs w:val="20"/>
          <w:vertAlign w:val="subscript"/>
        </w:rPr>
        <w:t>m</w:t>
      </w:r>
      <w:r>
        <w:rPr>
          <w:rFonts w:ascii="Times New Roman" w:hAnsi="Times New Roman" w:hint="eastAsia"/>
          <w:sz w:val="20"/>
          <w:szCs w:val="20"/>
        </w:rPr>
        <w:t>=3.75</w:t>
      </w:r>
      <w:r>
        <w:rPr>
          <w:rFonts w:ascii="Times New Roman" w:hAnsi="Times New Roman"/>
          <w:sz w:val="20"/>
          <w:szCs w:val="20"/>
        </w:rPr>
        <w:t>×</w:t>
      </w:r>
      <w:r>
        <w:rPr>
          <w:rFonts w:ascii="Times New Roman" w:hAnsi="Times New Roman" w:hint="eastAsia"/>
          <w:sz w:val="20"/>
          <w:szCs w:val="20"/>
        </w:rPr>
        <w:t>10</w:t>
      </w:r>
      <w:r>
        <w:rPr>
          <w:rFonts w:ascii="Times New Roman" w:hAnsi="Times New Roman" w:hint="eastAsia"/>
          <w:sz w:val="20"/>
          <w:szCs w:val="20"/>
          <w:vertAlign w:val="superscript"/>
        </w:rPr>
        <w:t>7</w:t>
      </w:r>
      <w:r>
        <w:rPr>
          <w:rFonts w:ascii="Times New Roman" w:hAnsi="Times New Roman" w:hint="eastAsia"/>
          <w:sz w:val="20"/>
          <w:szCs w:val="20"/>
        </w:rPr>
        <w:t xml:space="preserve">. When </w:t>
      </w:r>
      <w:r>
        <w:rPr>
          <w:rFonts w:ascii="Times New Roman" w:hAnsi="Times New Roman" w:hint="eastAsia"/>
          <w:i/>
          <w:iCs/>
          <w:sz w:val="20"/>
          <w:szCs w:val="20"/>
        </w:rPr>
        <w:t>h</w:t>
      </w:r>
      <w:r>
        <w:rPr>
          <w:rFonts w:ascii="Times New Roman" w:hAnsi="Times New Roman"/>
          <w:i/>
          <w:iCs/>
          <w:sz w:val="20"/>
          <w:szCs w:val="20"/>
          <w:vertAlign w:val="subscript"/>
        </w:rPr>
        <w:t>p</w:t>
      </w:r>
      <w:r>
        <w:rPr>
          <w:rFonts w:ascii="Times New Roman" w:hAnsi="Times New Roman" w:hint="eastAsia"/>
          <w:sz w:val="20"/>
          <w:szCs w:val="20"/>
        </w:rPr>
        <w:t xml:space="preserve">=38.01, the changes in the manufacturer's performance warranty profit, performance warranty cost, and total profit with respect to </w:t>
      </w:r>
      <w:r>
        <w:rPr>
          <w:rFonts w:ascii="Times New Roman" w:hAnsi="Times New Roman" w:hint="eastAsia"/>
          <w:i/>
          <w:iCs/>
          <w:sz w:val="20"/>
          <w:szCs w:val="20"/>
        </w:rPr>
        <w:t>D</w:t>
      </w:r>
      <w:r>
        <w:rPr>
          <w:rFonts w:ascii="Times New Roman" w:hAnsi="Times New Roman" w:hint="eastAsia"/>
          <w:i/>
          <w:iCs/>
          <w:sz w:val="20"/>
          <w:szCs w:val="20"/>
          <w:vertAlign w:val="subscript"/>
        </w:rPr>
        <w:t>1</w:t>
      </w:r>
      <w:r>
        <w:rPr>
          <w:rFonts w:ascii="Times New Roman" w:hAnsi="Times New Roman" w:hint="eastAsia"/>
          <w:sz w:val="20"/>
          <w:szCs w:val="20"/>
        </w:rPr>
        <w:t xml:space="preserve"> and </w:t>
      </w:r>
      <w:r>
        <w:rPr>
          <w:rFonts w:ascii="Times New Roman" w:hAnsi="Times New Roman" w:hint="eastAsia"/>
          <w:i/>
          <w:iCs/>
          <w:sz w:val="20"/>
          <w:szCs w:val="20"/>
        </w:rPr>
        <w:t>D</w:t>
      </w:r>
      <w:r>
        <w:rPr>
          <w:rFonts w:ascii="Times New Roman" w:hAnsi="Times New Roman" w:hint="eastAsia"/>
          <w:sz w:val="20"/>
          <w:szCs w:val="20"/>
        </w:rPr>
        <w:t xml:space="preserve"> are shown in Figures 4-6, respectively.</w:t>
      </w:r>
    </w:p>
    <w:p w14:paraId="38322ACA" w14:textId="77777777" w:rsidR="00097C63" w:rsidRDefault="00FB6D14">
      <w:pPr>
        <w:jc w:val="center"/>
        <w:rPr>
          <w:rFonts w:ascii="Times New Roman" w:hAnsi="Times New Roman"/>
          <w:sz w:val="20"/>
          <w:szCs w:val="20"/>
        </w:rPr>
      </w:pPr>
      <w:r>
        <w:rPr>
          <w:rFonts w:ascii="Times New Roman" w:hAnsi="Times New Roman"/>
          <w:noProof/>
          <w:sz w:val="20"/>
          <w:szCs w:val="20"/>
          <w:lang w:val="pl-PL" w:eastAsia="pl-PL"/>
        </w:rPr>
        <w:drawing>
          <wp:inline distT="0" distB="0" distL="114300" distR="114300">
            <wp:extent cx="2123440" cy="1585595"/>
            <wp:effectExtent l="0" t="0" r="0" b="0"/>
            <wp:docPr id="8"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0"/>
                    <pic:cNvPicPr>
                      <a:picLocks noChangeAspect="1"/>
                    </pic:cNvPicPr>
                  </pic:nvPicPr>
                  <pic:blipFill>
                    <a:blip r:embed="rId21">
                      <a:lum bright="-6000"/>
                    </a:blip>
                    <a:stretch>
                      <a:fillRect/>
                    </a:stretch>
                  </pic:blipFill>
                  <pic:spPr>
                    <a:xfrm>
                      <a:off x="0" y="0"/>
                      <a:ext cx="2124000" cy="1585615"/>
                    </a:xfrm>
                    <a:prstGeom prst="rect">
                      <a:avLst/>
                    </a:prstGeom>
                    <a:noFill/>
                    <a:ln>
                      <a:noFill/>
                    </a:ln>
                  </pic:spPr>
                </pic:pic>
              </a:graphicData>
            </a:graphic>
          </wp:inline>
        </w:drawing>
      </w:r>
    </w:p>
    <w:p w14:paraId="0598A26A" w14:textId="77777777" w:rsidR="00097C63" w:rsidRDefault="00FB6D14">
      <w:pPr>
        <w:jc w:val="center"/>
        <w:rPr>
          <w:rFonts w:ascii="Times New Roman" w:hAnsi="Times New Roman"/>
          <w:sz w:val="20"/>
          <w:szCs w:val="20"/>
        </w:rPr>
      </w:pPr>
      <w:r>
        <w:rPr>
          <w:rFonts w:ascii="Times New Roman" w:hAnsi="Times New Roman"/>
          <w:sz w:val="20"/>
          <w:szCs w:val="20"/>
        </w:rPr>
        <w:t xml:space="preserve">Figure 4. </w:t>
      </w:r>
      <w:r>
        <w:rPr>
          <w:rFonts w:ascii="Times New Roman" w:hAnsi="Times New Roman" w:hint="eastAsia"/>
          <w:sz w:val="20"/>
          <w:szCs w:val="20"/>
        </w:rPr>
        <w:t xml:space="preserve">The relationship between performance warranty profit and changes in </w:t>
      </w:r>
      <w:r>
        <w:rPr>
          <w:rFonts w:ascii="Times New Roman" w:hAnsi="Times New Roman" w:hint="eastAsia"/>
          <w:i/>
          <w:iCs/>
          <w:sz w:val="20"/>
          <w:szCs w:val="20"/>
        </w:rPr>
        <w:t>D</w:t>
      </w:r>
      <w:r>
        <w:rPr>
          <w:rFonts w:ascii="Times New Roman" w:hAnsi="Times New Roman" w:hint="eastAsia"/>
          <w:i/>
          <w:iCs/>
          <w:sz w:val="20"/>
          <w:szCs w:val="20"/>
          <w:vertAlign w:val="subscript"/>
        </w:rPr>
        <w:t>1</w:t>
      </w:r>
      <w:r>
        <w:rPr>
          <w:rFonts w:ascii="Times New Roman" w:hAnsi="Times New Roman" w:hint="eastAsia"/>
          <w:sz w:val="20"/>
          <w:szCs w:val="20"/>
        </w:rPr>
        <w:t xml:space="preserve"> and </w:t>
      </w:r>
      <w:r>
        <w:rPr>
          <w:rFonts w:ascii="Times New Roman" w:hAnsi="Times New Roman" w:hint="eastAsia"/>
          <w:i/>
          <w:iCs/>
          <w:sz w:val="20"/>
          <w:szCs w:val="20"/>
        </w:rPr>
        <w:t>D.</w:t>
      </w:r>
    </w:p>
    <w:p w14:paraId="5EAA7A48" w14:textId="77777777" w:rsidR="00097C63" w:rsidRDefault="00FB6D14">
      <w:pPr>
        <w:ind w:firstLine="284"/>
        <w:jc w:val="center"/>
        <w:rPr>
          <w:rFonts w:ascii="Times New Roman" w:hAnsi="Times New Roman"/>
          <w:sz w:val="20"/>
          <w:szCs w:val="20"/>
        </w:rPr>
      </w:pPr>
      <w:r>
        <w:rPr>
          <w:rFonts w:ascii="Times New Roman" w:hAnsi="Times New Roman"/>
          <w:noProof/>
          <w:szCs w:val="22"/>
          <w:lang w:val="pl-PL" w:eastAsia="pl-PL"/>
        </w:rPr>
        <w:lastRenderedPageBreak/>
        <w:drawing>
          <wp:inline distT="0" distB="0" distL="114300" distR="114300">
            <wp:extent cx="1979930" cy="1477645"/>
            <wp:effectExtent l="0" t="0" r="1270" b="8255"/>
            <wp:docPr id="15"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2"/>
                    <pic:cNvPicPr>
                      <a:picLocks noChangeAspect="1"/>
                    </pic:cNvPicPr>
                  </pic:nvPicPr>
                  <pic:blipFill>
                    <a:blip r:embed="rId22"/>
                    <a:stretch>
                      <a:fillRect/>
                    </a:stretch>
                  </pic:blipFill>
                  <pic:spPr>
                    <a:xfrm>
                      <a:off x="0" y="0"/>
                      <a:ext cx="1980000" cy="1477757"/>
                    </a:xfrm>
                    <a:prstGeom prst="rect">
                      <a:avLst/>
                    </a:prstGeom>
                    <a:noFill/>
                    <a:ln>
                      <a:noFill/>
                    </a:ln>
                  </pic:spPr>
                </pic:pic>
              </a:graphicData>
            </a:graphic>
          </wp:inline>
        </w:drawing>
      </w:r>
    </w:p>
    <w:p w14:paraId="30A3557C" w14:textId="77777777" w:rsidR="00097C63" w:rsidRDefault="00FB6D14">
      <w:pPr>
        <w:ind w:firstLine="284"/>
        <w:jc w:val="center"/>
        <w:rPr>
          <w:rFonts w:ascii="Times New Roman" w:hAnsi="Times New Roman"/>
          <w:sz w:val="20"/>
          <w:szCs w:val="20"/>
        </w:rPr>
      </w:pPr>
      <w:r>
        <w:rPr>
          <w:rFonts w:ascii="Times New Roman" w:hAnsi="Times New Roman"/>
          <w:sz w:val="20"/>
          <w:szCs w:val="20"/>
        </w:rPr>
        <w:t xml:space="preserve">Figure 5. </w:t>
      </w:r>
      <w:r>
        <w:rPr>
          <w:rFonts w:ascii="Times New Roman" w:hAnsi="Times New Roman" w:hint="eastAsia"/>
          <w:sz w:val="20"/>
          <w:szCs w:val="20"/>
        </w:rPr>
        <w:t xml:space="preserve">The relationship between performance warranty cost and changes in </w:t>
      </w:r>
      <w:r>
        <w:rPr>
          <w:rFonts w:ascii="Times New Roman" w:hAnsi="Times New Roman" w:hint="eastAsia"/>
          <w:i/>
          <w:iCs/>
          <w:sz w:val="20"/>
          <w:szCs w:val="20"/>
        </w:rPr>
        <w:t>D</w:t>
      </w:r>
      <w:r>
        <w:rPr>
          <w:rFonts w:ascii="Times New Roman" w:hAnsi="Times New Roman" w:hint="eastAsia"/>
          <w:i/>
          <w:iCs/>
          <w:sz w:val="20"/>
          <w:szCs w:val="20"/>
          <w:vertAlign w:val="subscript"/>
        </w:rPr>
        <w:t>1</w:t>
      </w:r>
      <w:r>
        <w:rPr>
          <w:rFonts w:ascii="Times New Roman" w:hAnsi="Times New Roman" w:hint="eastAsia"/>
          <w:i/>
          <w:iCs/>
          <w:sz w:val="20"/>
          <w:szCs w:val="20"/>
        </w:rPr>
        <w:t xml:space="preserve"> </w:t>
      </w:r>
      <w:r>
        <w:rPr>
          <w:rFonts w:ascii="Times New Roman" w:hAnsi="Times New Roman" w:hint="eastAsia"/>
          <w:sz w:val="20"/>
          <w:szCs w:val="20"/>
        </w:rPr>
        <w:t xml:space="preserve">and </w:t>
      </w:r>
      <w:r>
        <w:rPr>
          <w:rFonts w:ascii="Times New Roman" w:hAnsi="Times New Roman" w:hint="eastAsia"/>
          <w:i/>
          <w:iCs/>
          <w:sz w:val="20"/>
          <w:szCs w:val="20"/>
        </w:rPr>
        <w:t>D</w:t>
      </w:r>
      <w:r>
        <w:rPr>
          <w:rFonts w:ascii="Times New Roman" w:hAnsi="Times New Roman" w:hint="eastAsia"/>
          <w:sz w:val="20"/>
          <w:szCs w:val="20"/>
        </w:rPr>
        <w:t>.</w:t>
      </w:r>
    </w:p>
    <w:p w14:paraId="2E44A977" w14:textId="77777777" w:rsidR="00097C63" w:rsidRDefault="00FB6D14">
      <w:pPr>
        <w:jc w:val="center"/>
      </w:pPr>
      <w:r>
        <w:rPr>
          <w:rFonts w:ascii="Times New Roman" w:hAnsi="Times New Roman"/>
          <w:noProof/>
          <w:szCs w:val="22"/>
          <w:lang w:val="pl-PL" w:eastAsia="pl-PL"/>
        </w:rPr>
        <w:drawing>
          <wp:inline distT="0" distB="0" distL="114300" distR="114300">
            <wp:extent cx="2087880" cy="1573530"/>
            <wp:effectExtent l="0" t="0" r="7620" b="7620"/>
            <wp:docPr id="14"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1"/>
                    <pic:cNvPicPr>
                      <a:picLocks noChangeAspect="1"/>
                    </pic:cNvPicPr>
                  </pic:nvPicPr>
                  <pic:blipFill>
                    <a:blip r:embed="rId23"/>
                    <a:stretch>
                      <a:fillRect/>
                    </a:stretch>
                  </pic:blipFill>
                  <pic:spPr>
                    <a:xfrm>
                      <a:off x="0" y="0"/>
                      <a:ext cx="2088000" cy="1573846"/>
                    </a:xfrm>
                    <a:prstGeom prst="rect">
                      <a:avLst/>
                    </a:prstGeom>
                    <a:noFill/>
                    <a:ln>
                      <a:noFill/>
                    </a:ln>
                  </pic:spPr>
                </pic:pic>
              </a:graphicData>
            </a:graphic>
          </wp:inline>
        </w:drawing>
      </w:r>
    </w:p>
    <w:p w14:paraId="760AB37A" w14:textId="77777777" w:rsidR="00097C63" w:rsidRDefault="00FB6D14">
      <w:pPr>
        <w:jc w:val="center"/>
        <w:rPr>
          <w:rFonts w:ascii="Times New Roman" w:hAnsi="Times New Roman"/>
          <w:sz w:val="20"/>
          <w:szCs w:val="20"/>
        </w:rPr>
      </w:pPr>
      <w:r>
        <w:rPr>
          <w:rFonts w:ascii="Times New Roman" w:hAnsi="Times New Roman"/>
          <w:sz w:val="20"/>
          <w:szCs w:val="20"/>
        </w:rPr>
        <w:t xml:space="preserve">Figure 6. </w:t>
      </w:r>
      <w:r>
        <w:rPr>
          <w:rFonts w:ascii="Times New Roman" w:hAnsi="Times New Roman" w:hint="eastAsia"/>
          <w:sz w:val="20"/>
          <w:szCs w:val="20"/>
        </w:rPr>
        <w:t>The relationship between manufacturer's total profit and changes in D1 and D.</w:t>
      </w:r>
    </w:p>
    <w:p w14:paraId="587A21CA" w14:textId="77777777" w:rsidR="00097C63" w:rsidRDefault="00FB6D14">
      <w:pPr>
        <w:ind w:firstLine="284"/>
        <w:rPr>
          <w:rFonts w:ascii="Times New Roman" w:hAnsi="Times New Roman"/>
          <w:sz w:val="20"/>
          <w:szCs w:val="20"/>
        </w:rPr>
      </w:pPr>
      <w:r>
        <w:rPr>
          <w:rFonts w:ascii="Times New Roman" w:hAnsi="Times New Roman" w:hint="eastAsia"/>
          <w:sz w:val="20"/>
          <w:szCs w:val="20"/>
        </w:rPr>
        <w:t>The PWS proposed in this paper has achieved breakthroughs in the following two aspects: First, it incorporates an incentive mechanism based on equipment availability, constructing an optimization model to maximize the manufacturer's performance warranty profit. Second, it introduces the concept of differentiated preventive inspection intervals, that is, distinguishing between the initial inspection interval and subsequent inspection intervals. To verify the practical value of the above innovations, this section designs comparative experiments, comparing the PWS with two traditional strategies, Strategy A and Strategy B. The specific descriptions of Strategy A and Strategy B are as follows.</w:t>
      </w:r>
    </w:p>
    <w:p w14:paraId="606F3386" w14:textId="77777777" w:rsidR="00097C63" w:rsidRDefault="00FB6D14">
      <w:pPr>
        <w:ind w:firstLine="284"/>
        <w:rPr>
          <w:rFonts w:ascii="Times New Roman" w:hAnsi="Times New Roman"/>
          <w:sz w:val="20"/>
          <w:szCs w:val="22"/>
        </w:rPr>
      </w:pPr>
      <w:r>
        <w:rPr>
          <w:rFonts w:ascii="Times New Roman" w:hAnsi="Times New Roman"/>
          <w:b/>
          <w:bCs/>
          <w:sz w:val="20"/>
          <w:szCs w:val="22"/>
        </w:rPr>
        <w:t>Strategy A</w:t>
      </w:r>
      <w:r>
        <w:rPr>
          <w:rFonts w:ascii="Times New Roman" w:hAnsi="Times New Roman"/>
          <w:sz w:val="20"/>
          <w:szCs w:val="22"/>
        </w:rPr>
        <w:t>: aims to minimize warranty costs and does not consider maximizing the manufacturer's performance warranty profit [26]. The corresponding optimization model is:</w:t>
      </w:r>
    </w:p>
    <w:tbl>
      <w:tblPr>
        <w:tblStyle w:val="Tabela-Siatka"/>
        <w:tblW w:w="5000" w:type="pct"/>
        <w:tblLook w:val="04A0" w:firstRow="1" w:lastRow="0" w:firstColumn="1" w:lastColumn="0" w:noHBand="0" w:noVBand="1"/>
      </w:tblPr>
      <w:tblGrid>
        <w:gridCol w:w="4496"/>
        <w:gridCol w:w="607"/>
      </w:tblGrid>
      <w:tr w:rsidR="00097C63" w14:paraId="6B389DF8" w14:textId="77777777">
        <w:trPr>
          <w:trHeight w:val="628"/>
        </w:trPr>
        <w:tc>
          <w:tcPr>
            <w:tcW w:w="4405" w:type="pct"/>
            <w:tcBorders>
              <w:top w:val="nil"/>
              <w:left w:val="nil"/>
              <w:bottom w:val="nil"/>
              <w:right w:val="nil"/>
            </w:tcBorders>
            <w:vAlign w:val="center"/>
          </w:tcPr>
          <w:p w14:paraId="488BB16C" w14:textId="77777777" w:rsidR="00097C63" w:rsidRDefault="00FB6D14">
            <w:pPr>
              <w:rPr>
                <w:rFonts w:ascii="Cambria Math" w:hAnsi="Cambria Math"/>
                <w:sz w:val="20"/>
                <w:szCs w:val="22"/>
              </w:rPr>
            </w:pPr>
            <m:oMathPara>
              <m:oMathParaPr>
                <m:jc m:val="center"/>
              </m:oMathParaPr>
              <m:oMath>
                <m:func>
                  <m:funcPr>
                    <m:ctrlPr>
                      <w:rPr>
                        <w:rFonts w:ascii="Cambria Math" w:hAnsi="Cambria Math"/>
                        <w:i/>
                        <w:sz w:val="20"/>
                        <w:szCs w:val="22"/>
                      </w:rPr>
                    </m:ctrlPr>
                  </m:funcPr>
                  <m:fName>
                    <m:r>
                      <w:rPr>
                        <w:rFonts w:ascii="Cambria Math" w:hAnsi="Cambria Math"/>
                        <w:sz w:val="20"/>
                        <w:szCs w:val="22"/>
                      </w:rPr>
                      <m:t>min</m:t>
                    </m:r>
                  </m:fName>
                  <m:e>
                    <m:r>
                      <w:rPr>
                        <w:rFonts w:ascii="Cambria Math" w:hAnsi="Cambria Math"/>
                        <w:sz w:val="20"/>
                        <w:szCs w:val="22"/>
                      </w:rPr>
                      <m:t>E</m:t>
                    </m:r>
                  </m:e>
                </m:func>
                <m:r>
                  <w:rPr>
                    <w:rFonts w:ascii="Cambria Math" w:hAnsi="Cambria Math"/>
                    <w:sz w:val="20"/>
                    <w:szCs w:val="22"/>
                  </w:rPr>
                  <m:t>C(</m:t>
                </m:r>
                <m:sSub>
                  <m:sSubPr>
                    <m:ctrlPr>
                      <w:rPr>
                        <w:rFonts w:ascii="Cambria Math" w:hAnsi="Cambria Math"/>
                        <w:i/>
                        <w:sz w:val="20"/>
                        <w:szCs w:val="22"/>
                      </w:rPr>
                    </m:ctrlPr>
                  </m:sSubPr>
                  <m:e>
                    <m:r>
                      <w:rPr>
                        <w:rFonts w:ascii="Cambria Math" w:hAnsi="Cambria Math"/>
                        <w:sz w:val="20"/>
                        <w:szCs w:val="22"/>
                      </w:rPr>
                      <m:t>D</m:t>
                    </m:r>
                  </m:e>
                  <m:sub>
                    <m:r>
                      <w:rPr>
                        <w:rFonts w:ascii="Cambria Math" w:hAnsi="Cambria Math"/>
                        <w:sz w:val="20"/>
                        <w:szCs w:val="22"/>
                      </w:rPr>
                      <m:t>1</m:t>
                    </m:r>
                  </m:sub>
                </m:sSub>
                <m:r>
                  <w:rPr>
                    <w:rFonts w:ascii="Cambria Math" w:hAnsi="Cambria Math"/>
                    <w:sz w:val="20"/>
                    <w:szCs w:val="22"/>
                  </w:rPr>
                  <m:t>,D,</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r>
                  <m:rPr>
                    <m:sty m:val="p"/>
                  </m:rPr>
                  <w:rPr>
                    <w:rFonts w:ascii="Cambria Math" w:hAnsi="Cambria Math"/>
                    <w:sz w:val="20"/>
                    <w:szCs w:val="22"/>
                  </w:rPr>
                  <w:br/>
                </m:r>
              </m:oMath>
              <m:oMath>
                <m:r>
                  <w:rPr>
                    <w:rFonts w:ascii="Cambria Math" w:hAnsi="Cambria Math"/>
                    <w:sz w:val="20"/>
                    <w:szCs w:val="22"/>
                  </w:rPr>
                  <m:t>(</m:t>
                </m:r>
                <m:sSub>
                  <m:sSubPr>
                    <m:ctrlPr>
                      <w:rPr>
                        <w:rFonts w:ascii="Cambria Math" w:hAnsi="Cambria Math"/>
                        <w:i/>
                        <w:sz w:val="20"/>
                        <w:szCs w:val="22"/>
                      </w:rPr>
                    </m:ctrlPr>
                  </m:sSubPr>
                  <m:e>
                    <m:r>
                      <w:rPr>
                        <w:rFonts w:ascii="Cambria Math" w:hAnsi="Cambria Math"/>
                        <w:sz w:val="20"/>
                        <w:szCs w:val="22"/>
                      </w:rPr>
                      <m:t>D</m:t>
                    </m:r>
                  </m:e>
                  <m:sub>
                    <m:r>
                      <w:rPr>
                        <w:rFonts w:ascii="Cambria Math" w:hAnsi="Cambria Math"/>
                        <w:sz w:val="20"/>
                        <w:szCs w:val="22"/>
                      </w:rPr>
                      <m:t>1</m:t>
                    </m:r>
                  </m:sub>
                </m:sSub>
                <m:r>
                  <w:rPr>
                    <w:rFonts w:ascii="Cambria Math" w:hAnsi="Cambria Math"/>
                    <w:sz w:val="20"/>
                    <w:szCs w:val="22"/>
                  </w:rPr>
                  <m:t>*,D*,</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func>
                  <m:funcPr>
                    <m:ctrlPr>
                      <w:rPr>
                        <w:rFonts w:ascii="Cambria Math" w:hAnsi="Cambria Math"/>
                        <w:i/>
                        <w:sz w:val="20"/>
                        <w:szCs w:val="22"/>
                      </w:rPr>
                    </m:ctrlPr>
                  </m:funcPr>
                  <m:fName>
                    <m:r>
                      <w:rPr>
                        <w:rFonts w:ascii="Cambria Math" w:hAnsi="Cambria Math"/>
                        <w:sz w:val="20"/>
                        <w:szCs w:val="22"/>
                      </w:rPr>
                      <m:t>argmin</m:t>
                    </m:r>
                  </m:fName>
                  <m:e>
                    <m:r>
                      <w:rPr>
                        <w:rFonts w:ascii="Cambria Math" w:hAnsi="Cambria Math"/>
                        <w:sz w:val="20"/>
                        <w:szCs w:val="22"/>
                      </w:rPr>
                      <m:t>{</m:t>
                    </m:r>
                  </m:e>
                </m:func>
                <m:r>
                  <w:rPr>
                    <w:rFonts w:ascii="Cambria Math" w:hAnsi="Cambria Math"/>
                    <w:sz w:val="20"/>
                    <w:szCs w:val="22"/>
                  </w:rPr>
                  <m:t>EC(</m:t>
                </m:r>
                <m:sSub>
                  <m:sSubPr>
                    <m:ctrlPr>
                      <w:rPr>
                        <w:rFonts w:ascii="Cambria Math" w:hAnsi="Cambria Math"/>
                        <w:i/>
                        <w:sz w:val="20"/>
                        <w:szCs w:val="22"/>
                      </w:rPr>
                    </m:ctrlPr>
                  </m:sSubPr>
                  <m:e>
                    <m:r>
                      <w:rPr>
                        <w:rFonts w:ascii="Cambria Math" w:hAnsi="Cambria Math"/>
                        <w:sz w:val="20"/>
                        <w:szCs w:val="22"/>
                      </w:rPr>
                      <m:t>D</m:t>
                    </m:r>
                  </m:e>
                  <m:sub>
                    <m:r>
                      <w:rPr>
                        <w:rFonts w:ascii="Cambria Math" w:hAnsi="Cambria Math"/>
                        <w:sz w:val="20"/>
                        <w:szCs w:val="22"/>
                      </w:rPr>
                      <m:t>1</m:t>
                    </m:r>
                  </m:sub>
                </m:sSub>
                <m:r>
                  <w:rPr>
                    <w:rFonts w:ascii="Cambria Math" w:hAnsi="Cambria Math"/>
                    <w:sz w:val="20"/>
                    <w:szCs w:val="22"/>
                  </w:rPr>
                  <m:t>,D,</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m:t>
                </m:r>
                <m:r>
                  <m:rPr>
                    <m:sty m:val="p"/>
                  </m:rPr>
                  <w:rPr>
                    <w:rFonts w:ascii="Cambria Math" w:hAnsi="Cambria Math"/>
                    <w:sz w:val="20"/>
                    <w:szCs w:val="22"/>
                  </w:rPr>
                  <w:br/>
                </m:r>
              </m:oMath>
              <m:oMath>
                <m:r>
                  <w:rPr>
                    <w:rFonts w:ascii="Cambria Math" w:hAnsi="Cambria Math"/>
                    <w:sz w:val="20"/>
                    <w:szCs w:val="22"/>
                  </w:rPr>
                  <m:t>s.t.​​​​</m:t>
                </m:r>
                <m:d>
                  <m:dPr>
                    <m:begChr m:val="{"/>
                    <m:endChr m:val=""/>
                    <m:ctrlPr>
                      <w:rPr>
                        <w:rFonts w:ascii="Cambria Math" w:hAnsi="Cambria Math"/>
                        <w:i/>
                        <w:sz w:val="20"/>
                        <w:szCs w:val="22"/>
                      </w:rPr>
                    </m:ctrlPr>
                  </m:dPr>
                  <m:e>
                    <m:eqArr>
                      <m:eqArrPr>
                        <m:ctrlPr>
                          <w:rPr>
                            <w:rFonts w:ascii="Cambria Math" w:hAnsi="Cambria Math"/>
                            <w:i/>
                            <w:sz w:val="20"/>
                            <w:szCs w:val="22"/>
                          </w:rPr>
                        </m:ctrlPr>
                      </m:eqArrPr>
                      <m:e>
                        <m:r>
                          <w:rPr>
                            <w:rFonts w:ascii="Cambria Math" w:hAnsi="Cambria Math"/>
                            <w:sz w:val="20"/>
                            <w:szCs w:val="22"/>
                          </w:rPr>
                          <m:t>&amp;​0&lt;D&lt;</m:t>
                        </m:r>
                        <m:sSub>
                          <m:sSubPr>
                            <m:ctrlPr>
                              <w:rPr>
                                <w:rFonts w:ascii="Cambria Math" w:hAnsi="Cambria Math"/>
                                <w:i/>
                                <w:sz w:val="20"/>
                                <w:szCs w:val="22"/>
                              </w:rPr>
                            </m:ctrlPr>
                          </m:sSubPr>
                          <m:e>
                            <m:r>
                              <w:rPr>
                                <w:rFonts w:ascii="Cambria Math" w:hAnsi="Cambria Math"/>
                                <w:sz w:val="20"/>
                                <w:szCs w:val="22"/>
                              </w:rPr>
                              <m:t>D</m:t>
                            </m:r>
                          </m:e>
                          <m:sub>
                            <m:r>
                              <w:rPr>
                                <w:rFonts w:ascii="Cambria Math" w:hAnsi="Cambria Math"/>
                                <w:sz w:val="20"/>
                                <w:szCs w:val="22"/>
                              </w:rPr>
                              <m:t>1</m:t>
                            </m:r>
                          </m:sub>
                        </m:sSub>
                        <m:r>
                          <w:rPr>
                            <w:rFonts w:ascii="Cambria Math" w:hAnsi="Cambria Math"/>
                            <w:sz w:val="20"/>
                            <w:szCs w:val="22"/>
                          </w:rPr>
                          <m:t>&lt;</m:t>
                        </m:r>
                        <m:sSub>
                          <m:sSubPr>
                            <m:ctrlPr>
                              <w:rPr>
                                <w:rFonts w:ascii="Cambria Math" w:hAnsi="Cambria Math"/>
                                <w:i/>
                                <w:sz w:val="20"/>
                                <w:szCs w:val="22"/>
                              </w:rPr>
                            </m:ctrlPr>
                          </m:sSubPr>
                          <m:e>
                            <m:r>
                              <w:rPr>
                                <w:rFonts w:ascii="Cambria Math" w:hAnsi="Cambria Math"/>
                                <w:sz w:val="20"/>
                                <w:szCs w:val="22"/>
                              </w:rPr>
                              <m:t>D</m:t>
                            </m:r>
                          </m:e>
                          <m:sub>
                            <m:r>
                              <w:rPr>
                                <w:rFonts w:ascii="Cambria Math" w:hAnsi="Cambria Math"/>
                                <w:sz w:val="20"/>
                                <w:szCs w:val="22"/>
                              </w:rPr>
                              <m:t>max</m:t>
                            </m:r>
                          </m:sub>
                        </m:sSub>
                      </m:e>
                      <m:e>
                        <m:r>
                          <w:rPr>
                            <w:rFonts w:ascii="Cambria Math" w:hAnsi="Cambria Math"/>
                            <w:sz w:val="20"/>
                            <w:szCs w:val="22"/>
                          </w:rPr>
                          <m:t>&amp;0&lt;</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p</m:t>
                            </m:r>
                          </m:sub>
                        </m:sSub>
                        <m:r>
                          <w:rPr>
                            <w:rFonts w:ascii="Cambria Math" w:hAnsi="Cambria Math"/>
                            <w:sz w:val="20"/>
                            <w:szCs w:val="22"/>
                          </w:rPr>
                          <m:t>&lt;</m:t>
                        </m:r>
                        <m:sSub>
                          <m:sSubPr>
                            <m:ctrlPr>
                              <w:rPr>
                                <w:rFonts w:ascii="Cambria Math" w:hAnsi="Cambria Math"/>
                                <w:i/>
                                <w:sz w:val="20"/>
                                <w:szCs w:val="22"/>
                              </w:rPr>
                            </m:ctrlPr>
                          </m:sSubPr>
                          <m:e>
                            <m:r>
                              <w:rPr>
                                <w:rFonts w:ascii="Cambria Math" w:hAnsi="Cambria Math"/>
                                <w:sz w:val="20"/>
                                <w:szCs w:val="22"/>
                              </w:rPr>
                              <m:t>h</m:t>
                            </m:r>
                          </m:e>
                          <m:sub>
                            <m:r>
                              <w:rPr>
                                <w:rFonts w:ascii="Cambria Math" w:hAnsi="Cambria Math"/>
                                <w:sz w:val="20"/>
                                <w:szCs w:val="22"/>
                              </w:rPr>
                              <m:t>f</m:t>
                            </m:r>
                          </m:sub>
                        </m:sSub>
                      </m:e>
                    </m:eqArr>
                  </m:e>
                </m:d>
              </m:oMath>
            </m:oMathPara>
          </w:p>
        </w:tc>
        <w:tc>
          <w:tcPr>
            <w:tcW w:w="595" w:type="pct"/>
            <w:tcBorders>
              <w:top w:val="nil"/>
              <w:left w:val="nil"/>
              <w:bottom w:val="nil"/>
              <w:right w:val="nil"/>
            </w:tcBorders>
            <w:vAlign w:val="center"/>
          </w:tcPr>
          <w:p w14:paraId="32225C38" w14:textId="77777777" w:rsidR="00097C63" w:rsidRDefault="00FB6D14">
            <w:pPr>
              <w:ind w:right="-110"/>
              <w:jc w:val="right"/>
              <w:rPr>
                <w:rFonts w:ascii="Cambria Math" w:hAnsi="Cambria Math"/>
                <w:sz w:val="20"/>
                <w:szCs w:val="22"/>
              </w:rPr>
            </w:pPr>
            <w:r>
              <w:rPr>
                <w:rFonts w:ascii="Cambria Math" w:hAnsi="Cambria Math"/>
                <w:sz w:val="20"/>
                <w:szCs w:val="22"/>
              </w:rPr>
              <w:t xml:space="preserve">(40)   </w:t>
            </w:r>
          </w:p>
        </w:tc>
      </w:tr>
    </w:tbl>
    <w:p w14:paraId="257A8426" w14:textId="77777777" w:rsidR="00097C63" w:rsidRDefault="00FB6D14">
      <w:pPr>
        <w:ind w:firstLine="284"/>
        <w:rPr>
          <w:rFonts w:ascii="Times New Roman" w:hAnsi="Times New Roman"/>
          <w:sz w:val="20"/>
          <w:szCs w:val="22"/>
        </w:rPr>
      </w:pPr>
      <w:r>
        <w:rPr>
          <w:rFonts w:ascii="Times New Roman" w:hAnsi="Times New Roman"/>
          <w:sz w:val="20"/>
          <w:szCs w:val="22"/>
        </w:rPr>
        <w:t>Compared with the PWS proposed in this paper, the condition-maintenance strategy based on minimum warranty cost differs only in its decision-making objective.</w:t>
      </w:r>
    </w:p>
    <w:p w14:paraId="682C6F62" w14:textId="77777777" w:rsidR="00097C63" w:rsidRDefault="00FB6D14">
      <w:pPr>
        <w:ind w:firstLine="284"/>
        <w:rPr>
          <w:rFonts w:ascii="Times New Roman" w:hAnsi="Times New Roman"/>
          <w:sz w:val="20"/>
          <w:szCs w:val="22"/>
        </w:rPr>
      </w:pPr>
      <w:r>
        <w:rPr>
          <w:rFonts w:ascii="Times New Roman" w:hAnsi="Times New Roman"/>
          <w:b/>
          <w:bCs/>
          <w:sz w:val="20"/>
          <w:szCs w:val="22"/>
        </w:rPr>
        <w:t>Strategy B</w:t>
      </w:r>
      <w:r>
        <w:rPr>
          <w:rFonts w:ascii="Times New Roman" w:hAnsi="Times New Roman"/>
          <w:sz w:val="20"/>
          <w:szCs w:val="22"/>
        </w:rPr>
        <w:t xml:space="preserve">: This strategy employs a fixed inspection interval without distinguishing between the initial inspection and subsequent inspections. In contrast, the PWS proposed in this paper innovatively adopts a differentiated inspection </w:t>
      </w:r>
      <w:r>
        <w:rPr>
          <w:rFonts w:ascii="Times New Roman" w:hAnsi="Times New Roman"/>
          <w:sz w:val="20"/>
          <w:szCs w:val="22"/>
        </w:rPr>
        <w:t xml:space="preserve">interval scheme, in which the initial inspection interval and subsequent inspection intervals are set to different time parameters. This differentiated periodic inspection mechanism has been successfully applied in the inspection practices of multiple mechanical systems [27]. To further explore the necessity of differentiated inspection intervals, this strategy sets </w:t>
      </w:r>
      <w:r>
        <w:rPr>
          <w:rFonts w:ascii="Times New Roman" w:hAnsi="Times New Roman"/>
          <w:i/>
          <w:iCs/>
          <w:sz w:val="20"/>
          <w:szCs w:val="22"/>
        </w:rPr>
        <w:t>D</w:t>
      </w:r>
      <w:r>
        <w:rPr>
          <w:rFonts w:ascii="Times New Roman" w:hAnsi="Times New Roman"/>
          <w:i/>
          <w:iCs/>
          <w:sz w:val="20"/>
          <w:szCs w:val="22"/>
          <w:vertAlign w:val="subscript"/>
        </w:rPr>
        <w:t>1</w:t>
      </w:r>
      <w:r>
        <w:rPr>
          <w:rFonts w:ascii="Times New Roman" w:hAnsi="Times New Roman"/>
          <w:sz w:val="20"/>
          <w:szCs w:val="22"/>
        </w:rPr>
        <w:t>=</w:t>
      </w:r>
      <w:r>
        <w:rPr>
          <w:rFonts w:ascii="Times New Roman" w:hAnsi="Times New Roman"/>
          <w:i/>
          <w:iCs/>
          <w:sz w:val="20"/>
          <w:szCs w:val="22"/>
        </w:rPr>
        <w:t>D</w:t>
      </w:r>
      <w:r>
        <w:rPr>
          <w:rFonts w:ascii="Times New Roman" w:hAnsi="Times New Roman"/>
          <w:sz w:val="20"/>
          <w:szCs w:val="22"/>
        </w:rPr>
        <w:t>, thereby enabling a comparative analysis of unified and differentiated inspection intervals.</w:t>
      </w:r>
    </w:p>
    <w:p w14:paraId="0BB9EAAE" w14:textId="77777777" w:rsidR="00097C63" w:rsidRDefault="00FB6D14">
      <w:pPr>
        <w:ind w:firstLine="284"/>
        <w:rPr>
          <w:rFonts w:ascii="Times New Roman" w:hAnsi="Times New Roman"/>
          <w:sz w:val="20"/>
          <w:szCs w:val="22"/>
        </w:rPr>
      </w:pPr>
      <w:r>
        <w:rPr>
          <w:rFonts w:ascii="Times New Roman" w:hAnsi="Times New Roman"/>
          <w:sz w:val="20"/>
          <w:szCs w:val="22"/>
        </w:rPr>
        <w:t>The process of solving the maximum warranty profit for the manufacturer under different warranty strategies is shown in Figure 7.</w:t>
      </w:r>
    </w:p>
    <w:p w14:paraId="14323AB3" w14:textId="77777777" w:rsidR="00097C63" w:rsidRDefault="00FB6D14">
      <w:pPr>
        <w:jc w:val="center"/>
        <w:rPr>
          <w:rFonts w:ascii="Times New Roman" w:hAnsi="Times New Roman"/>
          <w:sz w:val="20"/>
          <w:szCs w:val="20"/>
        </w:rPr>
      </w:pPr>
      <w:r>
        <w:rPr>
          <w:rFonts w:ascii="Times New Roman" w:hAnsi="Times New Roman"/>
          <w:noProof/>
          <w:sz w:val="20"/>
          <w:szCs w:val="20"/>
          <w:lang w:val="pl-PL" w:eastAsia="pl-PL"/>
        </w:rPr>
        <w:drawing>
          <wp:inline distT="0" distB="0" distL="114300" distR="114300">
            <wp:extent cx="1979930" cy="1657350"/>
            <wp:effectExtent l="0" t="0" r="1270" b="0"/>
            <wp:docPr id="36" name="图片 36" descr="P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PWS"/>
                    <pic:cNvPicPr>
                      <a:picLocks noChangeAspect="1"/>
                    </pic:cNvPicPr>
                  </pic:nvPicPr>
                  <pic:blipFill>
                    <a:blip r:embed="rId24"/>
                    <a:stretch>
                      <a:fillRect/>
                    </a:stretch>
                  </pic:blipFill>
                  <pic:spPr>
                    <a:xfrm>
                      <a:off x="0" y="0"/>
                      <a:ext cx="1980000" cy="1657801"/>
                    </a:xfrm>
                    <a:prstGeom prst="rect">
                      <a:avLst/>
                    </a:prstGeom>
                  </pic:spPr>
                </pic:pic>
              </a:graphicData>
            </a:graphic>
          </wp:inline>
        </w:drawing>
      </w:r>
    </w:p>
    <w:p w14:paraId="0FB43799" w14:textId="77777777" w:rsidR="00097C63" w:rsidRDefault="00FB6D14">
      <w:pPr>
        <w:jc w:val="center"/>
        <w:rPr>
          <w:rFonts w:ascii="Times New Roman" w:hAnsi="Times New Roman"/>
          <w:sz w:val="20"/>
          <w:szCs w:val="20"/>
        </w:rPr>
      </w:pPr>
      <w:r>
        <w:rPr>
          <w:rFonts w:ascii="Times New Roman" w:hAnsi="Times New Roman"/>
          <w:sz w:val="20"/>
          <w:szCs w:val="20"/>
        </w:rPr>
        <w:t>(a) The maximum warranty profit of the manufacturer under PWS.</w:t>
      </w:r>
    </w:p>
    <w:p w14:paraId="0A5D9D93" w14:textId="77777777" w:rsidR="00097C63" w:rsidRDefault="00FB6D14">
      <w:pPr>
        <w:jc w:val="center"/>
        <w:rPr>
          <w:rFonts w:ascii="Times New Roman" w:hAnsi="Times New Roman"/>
          <w:sz w:val="20"/>
          <w:szCs w:val="20"/>
        </w:rPr>
      </w:pPr>
      <w:r>
        <w:rPr>
          <w:rFonts w:ascii="Times New Roman" w:hAnsi="Times New Roman"/>
          <w:noProof/>
          <w:sz w:val="20"/>
          <w:szCs w:val="20"/>
          <w:lang w:val="pl-PL" w:eastAsia="pl-PL"/>
        </w:rPr>
        <w:drawing>
          <wp:inline distT="0" distB="0" distL="114300" distR="114300">
            <wp:extent cx="2015490" cy="1588770"/>
            <wp:effectExtent l="0" t="0" r="3810" b="0"/>
            <wp:docPr id="37" name="图片 37"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A"/>
                    <pic:cNvPicPr>
                      <a:picLocks noChangeAspect="1"/>
                    </pic:cNvPicPr>
                  </pic:nvPicPr>
                  <pic:blipFill>
                    <a:blip r:embed="rId25"/>
                    <a:stretch>
                      <a:fillRect/>
                    </a:stretch>
                  </pic:blipFill>
                  <pic:spPr>
                    <a:xfrm>
                      <a:off x="0" y="0"/>
                      <a:ext cx="2016000" cy="1589020"/>
                    </a:xfrm>
                    <a:prstGeom prst="rect">
                      <a:avLst/>
                    </a:prstGeom>
                  </pic:spPr>
                </pic:pic>
              </a:graphicData>
            </a:graphic>
          </wp:inline>
        </w:drawing>
      </w:r>
    </w:p>
    <w:p w14:paraId="0089AF28" w14:textId="77777777" w:rsidR="00097C63" w:rsidRDefault="00FB6D14">
      <w:pPr>
        <w:jc w:val="center"/>
        <w:rPr>
          <w:rFonts w:ascii="Times New Roman" w:hAnsi="Times New Roman"/>
          <w:sz w:val="20"/>
          <w:szCs w:val="20"/>
        </w:rPr>
      </w:pPr>
      <w:r>
        <w:rPr>
          <w:rFonts w:ascii="Times New Roman" w:hAnsi="Times New Roman"/>
          <w:sz w:val="20"/>
          <w:szCs w:val="20"/>
        </w:rPr>
        <w:t>(b) The maximum warranty profit of the manufacturer under Strategy A.</w:t>
      </w:r>
    </w:p>
    <w:p w14:paraId="5BEA1FE1" w14:textId="77777777" w:rsidR="00097C63" w:rsidRDefault="00FB6D14">
      <w:pPr>
        <w:jc w:val="center"/>
        <w:rPr>
          <w:rFonts w:ascii="Times New Roman" w:hAnsi="Times New Roman"/>
          <w:sz w:val="20"/>
          <w:szCs w:val="20"/>
        </w:rPr>
      </w:pPr>
      <w:r>
        <w:rPr>
          <w:rFonts w:ascii="Times New Roman" w:hAnsi="Times New Roman"/>
          <w:noProof/>
          <w:sz w:val="20"/>
          <w:szCs w:val="20"/>
          <w:lang w:val="pl-PL" w:eastAsia="pl-PL"/>
        </w:rPr>
        <w:drawing>
          <wp:inline distT="0" distB="0" distL="114300" distR="114300">
            <wp:extent cx="1979930" cy="1621790"/>
            <wp:effectExtent l="0" t="0" r="1270" b="0"/>
            <wp:docPr id="38" name="图片 38"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B"/>
                    <pic:cNvPicPr>
                      <a:picLocks noChangeAspect="1"/>
                    </pic:cNvPicPr>
                  </pic:nvPicPr>
                  <pic:blipFill>
                    <a:blip r:embed="rId26"/>
                    <a:stretch>
                      <a:fillRect/>
                    </a:stretch>
                  </pic:blipFill>
                  <pic:spPr>
                    <a:xfrm>
                      <a:off x="0" y="0"/>
                      <a:ext cx="1980000" cy="1622192"/>
                    </a:xfrm>
                    <a:prstGeom prst="rect">
                      <a:avLst/>
                    </a:prstGeom>
                  </pic:spPr>
                </pic:pic>
              </a:graphicData>
            </a:graphic>
          </wp:inline>
        </w:drawing>
      </w:r>
    </w:p>
    <w:p w14:paraId="1F8C2053" w14:textId="77777777" w:rsidR="00097C63" w:rsidRDefault="00FB6D14">
      <w:pPr>
        <w:jc w:val="center"/>
        <w:rPr>
          <w:rFonts w:ascii="Times New Roman" w:hAnsi="Times New Roman"/>
          <w:sz w:val="20"/>
          <w:szCs w:val="20"/>
        </w:rPr>
      </w:pPr>
      <w:r>
        <w:rPr>
          <w:rFonts w:ascii="Times New Roman" w:hAnsi="Times New Roman"/>
          <w:sz w:val="20"/>
          <w:szCs w:val="20"/>
        </w:rPr>
        <w:t>(c) The maximum warranty profit of the manufacturer under Strategy B.</w:t>
      </w:r>
    </w:p>
    <w:p w14:paraId="499ECC52" w14:textId="77777777" w:rsidR="00097C63" w:rsidRDefault="00FB6D14">
      <w:pPr>
        <w:jc w:val="center"/>
        <w:rPr>
          <w:rFonts w:ascii="Times New Roman" w:hAnsi="Times New Roman"/>
          <w:sz w:val="20"/>
          <w:szCs w:val="20"/>
        </w:rPr>
      </w:pPr>
      <w:r>
        <w:rPr>
          <w:rFonts w:ascii="Times New Roman" w:hAnsi="Times New Roman"/>
          <w:sz w:val="20"/>
          <w:szCs w:val="20"/>
        </w:rPr>
        <w:t xml:space="preserve">Figure 7. </w:t>
      </w:r>
      <w:r>
        <w:rPr>
          <w:rFonts w:ascii="Times New Roman" w:hAnsi="Times New Roman" w:hint="eastAsia"/>
          <w:sz w:val="20"/>
          <w:szCs w:val="20"/>
        </w:rPr>
        <w:t>The maximum warranty profit corresponding to different warranty strategies.</w:t>
      </w:r>
    </w:p>
    <w:p w14:paraId="6CF3B2F6" w14:textId="77777777" w:rsidR="00097C63" w:rsidRDefault="00FB6D14">
      <w:pPr>
        <w:rPr>
          <w:rFonts w:ascii="Times New Roman" w:hAnsi="Times New Roman"/>
          <w:sz w:val="20"/>
          <w:szCs w:val="22"/>
        </w:rPr>
      </w:pPr>
      <w:r>
        <w:rPr>
          <w:rFonts w:ascii="Times New Roman" w:hAnsi="Times New Roman"/>
          <w:sz w:val="20"/>
          <w:szCs w:val="22"/>
        </w:rPr>
        <w:lastRenderedPageBreak/>
        <w:t xml:space="preserve">Table 2. </w:t>
      </w:r>
      <w:r>
        <w:rPr>
          <w:rFonts w:ascii="Times New Roman" w:hAnsi="Times New Roman" w:hint="eastAsia"/>
          <w:sz w:val="20"/>
          <w:szCs w:val="22"/>
        </w:rPr>
        <w:t>Optimal warranty plans under different warranty strategies.</w:t>
      </w:r>
    </w:p>
    <w:tbl>
      <w:tblPr>
        <w:tblStyle w:val="Tabela-Siatka"/>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03"/>
        <w:gridCol w:w="580"/>
        <w:gridCol w:w="580"/>
        <w:gridCol w:w="580"/>
        <w:gridCol w:w="499"/>
        <w:gridCol w:w="499"/>
        <w:gridCol w:w="883"/>
      </w:tblGrid>
      <w:tr w:rsidR="00097C63" w14:paraId="0F542B94" w14:textId="77777777">
        <w:trPr>
          <w:trHeight w:val="61"/>
          <w:jc w:val="center"/>
        </w:trPr>
        <w:tc>
          <w:tcPr>
            <w:tcW w:w="0" w:type="auto"/>
            <w:tcBorders>
              <w:bottom w:val="single" w:sz="4" w:space="0" w:color="auto"/>
            </w:tcBorders>
          </w:tcPr>
          <w:p w14:paraId="7DC095B9" w14:textId="77777777" w:rsidR="00097C63" w:rsidRDefault="00097C63">
            <w:pPr>
              <w:jc w:val="center"/>
              <w:rPr>
                <w:rFonts w:ascii="Times New Roman" w:hAnsi="Times New Roman"/>
                <w:sz w:val="16"/>
                <w:szCs w:val="18"/>
              </w:rPr>
            </w:pPr>
          </w:p>
        </w:tc>
        <w:tc>
          <w:tcPr>
            <w:tcW w:w="0" w:type="auto"/>
            <w:tcBorders>
              <w:bottom w:val="single" w:sz="4" w:space="0" w:color="auto"/>
            </w:tcBorders>
          </w:tcPr>
          <w:p w14:paraId="603CD3D0" w14:textId="77777777" w:rsidR="00097C63" w:rsidRDefault="00FB6D14">
            <w:pPr>
              <w:jc w:val="center"/>
              <w:rPr>
                <w:rFonts w:ascii="Times New Roman" w:hAnsi="Times New Roman"/>
                <w:sz w:val="16"/>
                <w:szCs w:val="18"/>
              </w:rPr>
            </w:pPr>
            <w:r>
              <w:rPr>
                <w:rFonts w:ascii="Times New Roman" w:hAnsi="Times New Roman"/>
                <w:i/>
                <w:iCs/>
                <w:sz w:val="16"/>
                <w:szCs w:val="18"/>
              </w:rPr>
              <w:t>D</w:t>
            </w:r>
            <w:r>
              <w:rPr>
                <w:rFonts w:ascii="Times New Roman" w:hAnsi="Times New Roman"/>
                <w:i/>
                <w:iCs/>
                <w:sz w:val="16"/>
                <w:szCs w:val="18"/>
                <w:vertAlign w:val="subscript"/>
              </w:rPr>
              <w:t>1</w:t>
            </w:r>
          </w:p>
        </w:tc>
        <w:tc>
          <w:tcPr>
            <w:tcW w:w="0" w:type="auto"/>
            <w:tcBorders>
              <w:bottom w:val="single" w:sz="4" w:space="0" w:color="auto"/>
            </w:tcBorders>
          </w:tcPr>
          <w:p w14:paraId="1896CB46" w14:textId="77777777" w:rsidR="00097C63" w:rsidRDefault="00FB6D14">
            <w:pPr>
              <w:jc w:val="center"/>
              <w:rPr>
                <w:rFonts w:ascii="Times New Roman" w:hAnsi="Times New Roman"/>
                <w:sz w:val="16"/>
                <w:szCs w:val="18"/>
              </w:rPr>
            </w:pPr>
            <w:r>
              <w:rPr>
                <w:rFonts w:ascii="Times New Roman" w:hAnsi="Times New Roman"/>
                <w:i/>
                <w:iCs/>
                <w:sz w:val="16"/>
                <w:szCs w:val="18"/>
              </w:rPr>
              <w:t>D</w:t>
            </w:r>
          </w:p>
        </w:tc>
        <w:tc>
          <w:tcPr>
            <w:tcW w:w="0" w:type="auto"/>
            <w:tcBorders>
              <w:bottom w:val="single" w:sz="4" w:space="0" w:color="auto"/>
            </w:tcBorders>
          </w:tcPr>
          <w:p w14:paraId="6C0107CE" w14:textId="77777777" w:rsidR="00097C63" w:rsidRDefault="00FB6D14">
            <w:pPr>
              <w:jc w:val="center"/>
              <w:rPr>
                <w:rFonts w:ascii="Times New Roman" w:hAnsi="Times New Roman"/>
                <w:sz w:val="16"/>
                <w:szCs w:val="18"/>
              </w:rPr>
            </w:pPr>
            <w:r>
              <w:rPr>
                <w:rFonts w:ascii="Times New Roman" w:hAnsi="Times New Roman"/>
                <w:i/>
                <w:iCs/>
                <w:sz w:val="16"/>
                <w:szCs w:val="18"/>
              </w:rPr>
              <w:t>h</w:t>
            </w:r>
            <w:r>
              <w:rPr>
                <w:rFonts w:ascii="Times New Roman" w:hAnsi="Times New Roman"/>
                <w:i/>
                <w:iCs/>
                <w:sz w:val="16"/>
                <w:szCs w:val="18"/>
                <w:vertAlign w:val="subscript"/>
              </w:rPr>
              <w:t>p</w:t>
            </w:r>
          </w:p>
        </w:tc>
        <w:tc>
          <w:tcPr>
            <w:tcW w:w="0" w:type="auto"/>
            <w:tcBorders>
              <w:bottom w:val="single" w:sz="4" w:space="0" w:color="auto"/>
            </w:tcBorders>
          </w:tcPr>
          <w:p w14:paraId="7E955FB2" w14:textId="77777777" w:rsidR="00097C63" w:rsidRDefault="00FB6D14">
            <w:pPr>
              <w:jc w:val="center"/>
              <w:rPr>
                <w:rFonts w:ascii="Times New Roman" w:hAnsi="Times New Roman"/>
                <w:b/>
                <w:bCs/>
                <w:sz w:val="16"/>
                <w:szCs w:val="18"/>
              </w:rPr>
            </w:pPr>
            <w:r>
              <w:rPr>
                <w:rFonts w:ascii="Times New Roman" w:hAnsi="Times New Roman"/>
                <w:b/>
                <w:bCs/>
                <w:i/>
                <w:iCs/>
                <w:sz w:val="16"/>
                <w:szCs w:val="18"/>
              </w:rPr>
              <w:t>EP</w:t>
            </w:r>
          </w:p>
        </w:tc>
        <w:tc>
          <w:tcPr>
            <w:tcW w:w="0" w:type="auto"/>
            <w:tcBorders>
              <w:bottom w:val="single" w:sz="4" w:space="0" w:color="auto"/>
            </w:tcBorders>
          </w:tcPr>
          <w:p w14:paraId="4385253A" w14:textId="77777777" w:rsidR="00097C63" w:rsidRDefault="00FB6D14">
            <w:pPr>
              <w:jc w:val="center"/>
              <w:rPr>
                <w:rFonts w:ascii="Times New Roman" w:hAnsi="Times New Roman"/>
                <w:sz w:val="16"/>
                <w:szCs w:val="18"/>
              </w:rPr>
            </w:pPr>
            <w:r>
              <w:rPr>
                <w:rFonts w:ascii="Times New Roman" w:hAnsi="Times New Roman"/>
                <w:i/>
                <w:iCs/>
                <w:sz w:val="16"/>
                <w:szCs w:val="18"/>
              </w:rPr>
              <w:t>EC</w:t>
            </w:r>
          </w:p>
        </w:tc>
        <w:tc>
          <w:tcPr>
            <w:tcW w:w="0" w:type="auto"/>
            <w:tcBorders>
              <w:bottom w:val="single" w:sz="4" w:space="0" w:color="auto"/>
            </w:tcBorders>
          </w:tcPr>
          <w:p w14:paraId="65F1FBC2" w14:textId="77777777" w:rsidR="00097C63" w:rsidRDefault="00FB6D14">
            <w:pPr>
              <w:jc w:val="center"/>
              <w:rPr>
                <w:rFonts w:ascii="Times New Roman" w:hAnsi="Times New Roman"/>
                <w:i/>
                <w:iCs/>
                <w:sz w:val="16"/>
                <w:szCs w:val="18"/>
              </w:rPr>
            </w:pPr>
            <w:r>
              <w:rPr>
                <w:rFonts w:ascii="Times New Roman" w:hAnsi="Times New Roman"/>
                <w:i/>
                <w:iCs/>
                <w:sz w:val="16"/>
                <w:szCs w:val="18"/>
              </w:rPr>
              <w:t>G</w:t>
            </w:r>
            <w:r>
              <w:rPr>
                <w:rFonts w:ascii="Times New Roman" w:hAnsi="Times New Roman"/>
                <w:i/>
                <w:iCs/>
                <w:sz w:val="16"/>
                <w:szCs w:val="18"/>
                <w:vertAlign w:val="subscript"/>
              </w:rPr>
              <w:t>m</w:t>
            </w:r>
          </w:p>
        </w:tc>
      </w:tr>
      <w:tr w:rsidR="00097C63" w14:paraId="7DE4147E" w14:textId="77777777">
        <w:trPr>
          <w:trHeight w:val="145"/>
          <w:jc w:val="center"/>
        </w:trPr>
        <w:tc>
          <w:tcPr>
            <w:tcW w:w="0" w:type="auto"/>
            <w:tcBorders>
              <w:top w:val="single" w:sz="4" w:space="0" w:color="auto"/>
            </w:tcBorders>
          </w:tcPr>
          <w:p w14:paraId="2B188809" w14:textId="77777777" w:rsidR="00097C63" w:rsidRDefault="00FB6D14">
            <w:pPr>
              <w:jc w:val="center"/>
              <w:rPr>
                <w:rFonts w:ascii="Times New Roman" w:hAnsi="Times New Roman"/>
                <w:sz w:val="16"/>
                <w:szCs w:val="18"/>
              </w:rPr>
            </w:pPr>
            <w:r>
              <w:rPr>
                <w:rFonts w:ascii="Times New Roman" w:hAnsi="Times New Roman"/>
                <w:sz w:val="16"/>
                <w:szCs w:val="18"/>
              </w:rPr>
              <w:t>PWS</w:t>
            </w:r>
          </w:p>
        </w:tc>
        <w:tc>
          <w:tcPr>
            <w:tcW w:w="0" w:type="auto"/>
            <w:tcBorders>
              <w:top w:val="single" w:sz="4" w:space="0" w:color="auto"/>
            </w:tcBorders>
          </w:tcPr>
          <w:p w14:paraId="67278EBE" w14:textId="77777777" w:rsidR="00097C63" w:rsidRDefault="00FB6D14">
            <w:pPr>
              <w:jc w:val="center"/>
              <w:rPr>
                <w:rFonts w:ascii="Times New Roman" w:hAnsi="Times New Roman"/>
                <w:sz w:val="16"/>
                <w:szCs w:val="18"/>
              </w:rPr>
            </w:pPr>
            <w:r>
              <w:rPr>
                <w:rFonts w:ascii="Times New Roman" w:hAnsi="Times New Roman"/>
                <w:sz w:val="16"/>
                <w:szCs w:val="18"/>
              </w:rPr>
              <w:t>19.32</w:t>
            </w:r>
          </w:p>
        </w:tc>
        <w:tc>
          <w:tcPr>
            <w:tcW w:w="0" w:type="auto"/>
            <w:tcBorders>
              <w:top w:val="single" w:sz="4" w:space="0" w:color="auto"/>
            </w:tcBorders>
          </w:tcPr>
          <w:p w14:paraId="739C082E" w14:textId="77777777" w:rsidR="00097C63" w:rsidRDefault="00FB6D14">
            <w:pPr>
              <w:jc w:val="center"/>
              <w:rPr>
                <w:rFonts w:ascii="Times New Roman" w:hAnsi="Times New Roman"/>
                <w:sz w:val="16"/>
                <w:szCs w:val="18"/>
              </w:rPr>
            </w:pPr>
            <w:r>
              <w:rPr>
                <w:rFonts w:ascii="Times New Roman" w:hAnsi="Times New Roman"/>
                <w:sz w:val="16"/>
                <w:szCs w:val="18"/>
              </w:rPr>
              <w:t>3.98</w:t>
            </w:r>
          </w:p>
        </w:tc>
        <w:tc>
          <w:tcPr>
            <w:tcW w:w="0" w:type="auto"/>
            <w:tcBorders>
              <w:top w:val="single" w:sz="4" w:space="0" w:color="auto"/>
            </w:tcBorders>
          </w:tcPr>
          <w:p w14:paraId="43F2C1E6" w14:textId="77777777" w:rsidR="00097C63" w:rsidRDefault="00FB6D14">
            <w:pPr>
              <w:jc w:val="center"/>
              <w:rPr>
                <w:rFonts w:ascii="Times New Roman" w:hAnsi="Times New Roman"/>
                <w:sz w:val="16"/>
                <w:szCs w:val="18"/>
              </w:rPr>
            </w:pPr>
            <w:r>
              <w:rPr>
                <w:rFonts w:ascii="Times New Roman" w:hAnsi="Times New Roman"/>
                <w:sz w:val="16"/>
                <w:szCs w:val="18"/>
              </w:rPr>
              <w:t>38.01</w:t>
            </w:r>
          </w:p>
        </w:tc>
        <w:tc>
          <w:tcPr>
            <w:tcW w:w="0" w:type="auto"/>
            <w:tcBorders>
              <w:top w:val="single" w:sz="4" w:space="0" w:color="auto"/>
            </w:tcBorders>
          </w:tcPr>
          <w:p w14:paraId="530571B1" w14:textId="77777777" w:rsidR="00097C63" w:rsidRDefault="00FB6D14">
            <w:pPr>
              <w:jc w:val="center"/>
              <w:rPr>
                <w:rFonts w:ascii="Times New Roman" w:hAnsi="Times New Roman"/>
                <w:b/>
                <w:bCs/>
                <w:sz w:val="16"/>
                <w:szCs w:val="18"/>
              </w:rPr>
            </w:pPr>
            <w:r>
              <w:rPr>
                <w:rFonts w:ascii="Times New Roman" w:hAnsi="Times New Roman"/>
                <w:b/>
                <w:bCs/>
                <w:sz w:val="16"/>
                <w:szCs w:val="18"/>
              </w:rPr>
              <w:t>3.95</w:t>
            </w:r>
          </w:p>
        </w:tc>
        <w:tc>
          <w:tcPr>
            <w:tcW w:w="0" w:type="auto"/>
            <w:tcBorders>
              <w:top w:val="single" w:sz="4" w:space="0" w:color="auto"/>
            </w:tcBorders>
          </w:tcPr>
          <w:p w14:paraId="12E764AD" w14:textId="77777777" w:rsidR="00097C63" w:rsidRDefault="00FB6D14">
            <w:pPr>
              <w:jc w:val="center"/>
              <w:rPr>
                <w:rFonts w:ascii="Times New Roman" w:hAnsi="Times New Roman"/>
                <w:sz w:val="16"/>
                <w:szCs w:val="18"/>
              </w:rPr>
            </w:pPr>
            <w:r>
              <w:rPr>
                <w:rFonts w:ascii="Times New Roman" w:hAnsi="Times New Roman"/>
                <w:sz w:val="16"/>
                <w:szCs w:val="18"/>
              </w:rPr>
              <w:t>2.30</w:t>
            </w:r>
          </w:p>
        </w:tc>
        <w:tc>
          <w:tcPr>
            <w:tcW w:w="0" w:type="auto"/>
            <w:tcBorders>
              <w:top w:val="single" w:sz="4" w:space="0" w:color="auto"/>
            </w:tcBorders>
          </w:tcPr>
          <w:p w14:paraId="520DFE5D" w14:textId="77777777" w:rsidR="00097C63" w:rsidRDefault="00FB6D14">
            <w:pPr>
              <w:jc w:val="center"/>
              <w:rPr>
                <w:rFonts w:ascii="Times New Roman" w:hAnsi="Times New Roman"/>
                <w:sz w:val="16"/>
                <w:szCs w:val="18"/>
              </w:rPr>
            </w:pPr>
            <w:r>
              <w:rPr>
                <w:rFonts w:ascii="Times New Roman" w:hAnsi="Times New Roman"/>
                <w:sz w:val="16"/>
                <w:szCs w:val="18"/>
              </w:rPr>
              <w:t>3.757×10</w:t>
            </w:r>
            <w:r>
              <w:rPr>
                <w:rFonts w:ascii="Times New Roman" w:hAnsi="Times New Roman"/>
                <w:sz w:val="16"/>
                <w:szCs w:val="18"/>
                <w:vertAlign w:val="superscript"/>
              </w:rPr>
              <w:t>7</w:t>
            </w:r>
          </w:p>
        </w:tc>
      </w:tr>
      <w:tr w:rsidR="00097C63" w14:paraId="00F2B111" w14:textId="77777777">
        <w:trPr>
          <w:trHeight w:val="215"/>
          <w:jc w:val="center"/>
        </w:trPr>
        <w:tc>
          <w:tcPr>
            <w:tcW w:w="0" w:type="auto"/>
          </w:tcPr>
          <w:p w14:paraId="31F31664" w14:textId="77777777" w:rsidR="00097C63" w:rsidRDefault="00FB6D14">
            <w:pPr>
              <w:jc w:val="center"/>
              <w:rPr>
                <w:rFonts w:ascii="Times New Roman" w:hAnsi="Times New Roman"/>
                <w:sz w:val="16"/>
                <w:szCs w:val="18"/>
              </w:rPr>
            </w:pPr>
            <w:r>
              <w:rPr>
                <w:rFonts w:ascii="Times New Roman" w:hAnsi="Times New Roman"/>
                <w:sz w:val="16"/>
                <w:szCs w:val="18"/>
              </w:rPr>
              <w:t>Strategy A</w:t>
            </w:r>
          </w:p>
        </w:tc>
        <w:tc>
          <w:tcPr>
            <w:tcW w:w="0" w:type="auto"/>
          </w:tcPr>
          <w:p w14:paraId="55AED477" w14:textId="77777777" w:rsidR="00097C63" w:rsidRDefault="00FB6D14">
            <w:pPr>
              <w:jc w:val="center"/>
              <w:rPr>
                <w:rFonts w:ascii="Times New Roman" w:hAnsi="Times New Roman"/>
                <w:sz w:val="16"/>
                <w:szCs w:val="18"/>
              </w:rPr>
            </w:pPr>
            <w:r>
              <w:rPr>
                <w:rFonts w:ascii="Times New Roman" w:hAnsi="Times New Roman"/>
                <w:sz w:val="16"/>
                <w:szCs w:val="18"/>
              </w:rPr>
              <w:t>18.15</w:t>
            </w:r>
          </w:p>
        </w:tc>
        <w:tc>
          <w:tcPr>
            <w:tcW w:w="0" w:type="auto"/>
          </w:tcPr>
          <w:p w14:paraId="2F19C6C7" w14:textId="77777777" w:rsidR="00097C63" w:rsidRDefault="00FB6D14">
            <w:pPr>
              <w:jc w:val="center"/>
              <w:rPr>
                <w:rFonts w:ascii="Times New Roman" w:hAnsi="Times New Roman"/>
                <w:sz w:val="16"/>
                <w:szCs w:val="18"/>
              </w:rPr>
            </w:pPr>
            <w:r>
              <w:rPr>
                <w:rFonts w:ascii="Times New Roman" w:hAnsi="Times New Roman"/>
                <w:sz w:val="16"/>
                <w:szCs w:val="18"/>
              </w:rPr>
              <w:t>3.51</w:t>
            </w:r>
          </w:p>
        </w:tc>
        <w:tc>
          <w:tcPr>
            <w:tcW w:w="0" w:type="auto"/>
          </w:tcPr>
          <w:p w14:paraId="0AEB8934" w14:textId="77777777" w:rsidR="00097C63" w:rsidRDefault="00FB6D14">
            <w:pPr>
              <w:jc w:val="center"/>
              <w:rPr>
                <w:rFonts w:ascii="Times New Roman" w:hAnsi="Times New Roman"/>
                <w:sz w:val="16"/>
                <w:szCs w:val="18"/>
              </w:rPr>
            </w:pPr>
            <w:r>
              <w:rPr>
                <w:rFonts w:ascii="Times New Roman" w:hAnsi="Times New Roman"/>
                <w:sz w:val="16"/>
                <w:szCs w:val="18"/>
              </w:rPr>
              <w:t>38.97</w:t>
            </w:r>
          </w:p>
        </w:tc>
        <w:tc>
          <w:tcPr>
            <w:tcW w:w="0" w:type="auto"/>
          </w:tcPr>
          <w:p w14:paraId="08FB3941" w14:textId="77777777" w:rsidR="00097C63" w:rsidRDefault="00FB6D14">
            <w:pPr>
              <w:jc w:val="center"/>
              <w:rPr>
                <w:rFonts w:ascii="Times New Roman" w:hAnsi="Times New Roman"/>
                <w:b/>
                <w:bCs/>
                <w:sz w:val="16"/>
                <w:szCs w:val="18"/>
              </w:rPr>
            </w:pPr>
            <w:r>
              <w:rPr>
                <w:rFonts w:ascii="Times New Roman" w:hAnsi="Times New Roman"/>
                <w:b/>
                <w:bCs/>
                <w:sz w:val="16"/>
                <w:szCs w:val="18"/>
              </w:rPr>
              <w:t>3.66</w:t>
            </w:r>
          </w:p>
        </w:tc>
        <w:tc>
          <w:tcPr>
            <w:tcW w:w="0" w:type="auto"/>
          </w:tcPr>
          <w:p w14:paraId="28D03048" w14:textId="77777777" w:rsidR="00097C63" w:rsidRDefault="00FB6D14">
            <w:pPr>
              <w:jc w:val="center"/>
              <w:rPr>
                <w:rFonts w:ascii="Times New Roman" w:hAnsi="Times New Roman"/>
                <w:sz w:val="16"/>
                <w:szCs w:val="18"/>
              </w:rPr>
            </w:pPr>
            <w:r>
              <w:rPr>
                <w:rFonts w:ascii="Times New Roman" w:hAnsi="Times New Roman"/>
                <w:sz w:val="16"/>
                <w:szCs w:val="18"/>
              </w:rPr>
              <w:t>2.19</w:t>
            </w:r>
          </w:p>
        </w:tc>
        <w:tc>
          <w:tcPr>
            <w:tcW w:w="0" w:type="auto"/>
          </w:tcPr>
          <w:p w14:paraId="55D90070" w14:textId="77777777" w:rsidR="00097C63" w:rsidRDefault="00FB6D14">
            <w:pPr>
              <w:jc w:val="center"/>
              <w:rPr>
                <w:rFonts w:ascii="Times New Roman" w:hAnsi="Times New Roman"/>
                <w:sz w:val="16"/>
                <w:szCs w:val="18"/>
              </w:rPr>
            </w:pPr>
            <w:r>
              <w:rPr>
                <w:rFonts w:ascii="Times New Roman" w:hAnsi="Times New Roman"/>
                <w:sz w:val="16"/>
                <w:szCs w:val="18"/>
              </w:rPr>
              <w:t>3.690×10</w:t>
            </w:r>
            <w:r>
              <w:rPr>
                <w:rFonts w:ascii="Times New Roman" w:hAnsi="Times New Roman"/>
                <w:sz w:val="16"/>
                <w:szCs w:val="18"/>
                <w:vertAlign w:val="superscript"/>
              </w:rPr>
              <w:t>7</w:t>
            </w:r>
          </w:p>
        </w:tc>
      </w:tr>
      <w:tr w:rsidR="00097C63" w14:paraId="66048A9A" w14:textId="77777777">
        <w:trPr>
          <w:trHeight w:val="257"/>
          <w:jc w:val="center"/>
        </w:trPr>
        <w:tc>
          <w:tcPr>
            <w:tcW w:w="0" w:type="auto"/>
          </w:tcPr>
          <w:p w14:paraId="797F8D9F" w14:textId="77777777" w:rsidR="00097C63" w:rsidRDefault="00FB6D14">
            <w:pPr>
              <w:jc w:val="center"/>
              <w:rPr>
                <w:rFonts w:ascii="Times New Roman" w:hAnsi="Times New Roman"/>
                <w:sz w:val="16"/>
                <w:szCs w:val="18"/>
              </w:rPr>
            </w:pPr>
            <w:r>
              <w:rPr>
                <w:rFonts w:ascii="Times New Roman" w:hAnsi="Times New Roman"/>
                <w:sz w:val="16"/>
                <w:szCs w:val="18"/>
              </w:rPr>
              <w:t>Strategy B</w:t>
            </w:r>
          </w:p>
        </w:tc>
        <w:tc>
          <w:tcPr>
            <w:tcW w:w="0" w:type="auto"/>
          </w:tcPr>
          <w:p w14:paraId="2D6912A9" w14:textId="77777777" w:rsidR="00097C63" w:rsidRDefault="00FB6D14">
            <w:pPr>
              <w:jc w:val="center"/>
              <w:rPr>
                <w:rFonts w:ascii="Times New Roman" w:hAnsi="Times New Roman"/>
                <w:sz w:val="16"/>
                <w:szCs w:val="18"/>
              </w:rPr>
            </w:pPr>
            <w:r>
              <w:rPr>
                <w:rFonts w:ascii="Times New Roman" w:hAnsi="Times New Roman"/>
                <w:sz w:val="16"/>
                <w:szCs w:val="18"/>
              </w:rPr>
              <w:t>10.64</w:t>
            </w:r>
          </w:p>
        </w:tc>
        <w:tc>
          <w:tcPr>
            <w:tcW w:w="0" w:type="auto"/>
          </w:tcPr>
          <w:p w14:paraId="32FDB330" w14:textId="77777777" w:rsidR="00097C63" w:rsidRDefault="00FB6D14">
            <w:pPr>
              <w:jc w:val="center"/>
              <w:rPr>
                <w:rFonts w:ascii="Times New Roman" w:hAnsi="Times New Roman"/>
                <w:sz w:val="16"/>
                <w:szCs w:val="18"/>
              </w:rPr>
            </w:pPr>
            <w:r>
              <w:rPr>
                <w:rFonts w:ascii="Times New Roman" w:hAnsi="Times New Roman"/>
                <w:sz w:val="16"/>
                <w:szCs w:val="18"/>
              </w:rPr>
              <w:t>10.64</w:t>
            </w:r>
          </w:p>
        </w:tc>
        <w:tc>
          <w:tcPr>
            <w:tcW w:w="0" w:type="auto"/>
          </w:tcPr>
          <w:p w14:paraId="49D01174" w14:textId="77777777" w:rsidR="00097C63" w:rsidRDefault="00FB6D14">
            <w:pPr>
              <w:jc w:val="center"/>
              <w:rPr>
                <w:rFonts w:ascii="Times New Roman" w:hAnsi="Times New Roman"/>
                <w:sz w:val="16"/>
                <w:szCs w:val="18"/>
              </w:rPr>
            </w:pPr>
            <w:r>
              <w:rPr>
                <w:rFonts w:ascii="Times New Roman" w:hAnsi="Times New Roman"/>
                <w:sz w:val="16"/>
                <w:szCs w:val="18"/>
              </w:rPr>
              <w:t>27.93</w:t>
            </w:r>
          </w:p>
        </w:tc>
        <w:tc>
          <w:tcPr>
            <w:tcW w:w="0" w:type="auto"/>
          </w:tcPr>
          <w:p w14:paraId="4E3A60E3" w14:textId="77777777" w:rsidR="00097C63" w:rsidRDefault="00FB6D14">
            <w:pPr>
              <w:jc w:val="center"/>
              <w:rPr>
                <w:rFonts w:ascii="Times New Roman" w:hAnsi="Times New Roman"/>
                <w:b/>
                <w:bCs/>
                <w:sz w:val="16"/>
                <w:szCs w:val="18"/>
              </w:rPr>
            </w:pPr>
            <w:r>
              <w:rPr>
                <w:rFonts w:ascii="Times New Roman" w:hAnsi="Times New Roman"/>
                <w:b/>
                <w:bCs/>
                <w:sz w:val="16"/>
                <w:szCs w:val="18"/>
              </w:rPr>
              <w:t>3.25</w:t>
            </w:r>
          </w:p>
        </w:tc>
        <w:tc>
          <w:tcPr>
            <w:tcW w:w="0" w:type="auto"/>
          </w:tcPr>
          <w:p w14:paraId="30A3C4D3" w14:textId="77777777" w:rsidR="00097C63" w:rsidRDefault="00FB6D14">
            <w:pPr>
              <w:jc w:val="center"/>
              <w:rPr>
                <w:rFonts w:ascii="Times New Roman" w:hAnsi="Times New Roman"/>
                <w:sz w:val="16"/>
                <w:szCs w:val="18"/>
              </w:rPr>
            </w:pPr>
            <w:r>
              <w:rPr>
                <w:rFonts w:ascii="Times New Roman" w:hAnsi="Times New Roman"/>
                <w:sz w:val="16"/>
                <w:szCs w:val="18"/>
              </w:rPr>
              <w:t>2.71</w:t>
            </w:r>
          </w:p>
        </w:tc>
        <w:tc>
          <w:tcPr>
            <w:tcW w:w="0" w:type="auto"/>
          </w:tcPr>
          <w:p w14:paraId="15C29CC2" w14:textId="77777777" w:rsidR="00097C63" w:rsidRDefault="00FB6D14">
            <w:pPr>
              <w:jc w:val="center"/>
              <w:rPr>
                <w:rFonts w:ascii="Times New Roman" w:hAnsi="Times New Roman"/>
                <w:sz w:val="16"/>
                <w:szCs w:val="18"/>
              </w:rPr>
            </w:pPr>
            <w:r>
              <w:rPr>
                <w:rFonts w:ascii="Times New Roman" w:hAnsi="Times New Roman"/>
                <w:sz w:val="16"/>
                <w:szCs w:val="18"/>
              </w:rPr>
              <w:t>3.321×10</w:t>
            </w:r>
            <w:r>
              <w:rPr>
                <w:rFonts w:ascii="Times New Roman" w:hAnsi="Times New Roman"/>
                <w:sz w:val="16"/>
                <w:szCs w:val="18"/>
                <w:vertAlign w:val="superscript"/>
              </w:rPr>
              <w:t>7</w:t>
            </w:r>
          </w:p>
        </w:tc>
      </w:tr>
    </w:tbl>
    <w:p w14:paraId="0BA54C91" w14:textId="77777777" w:rsidR="00097C63" w:rsidRDefault="00FB6D14">
      <w:pPr>
        <w:ind w:firstLine="284"/>
        <w:rPr>
          <w:rFonts w:ascii="Times New Roman" w:hAnsi="Times New Roman"/>
          <w:sz w:val="20"/>
          <w:szCs w:val="22"/>
        </w:rPr>
      </w:pPr>
      <w:r>
        <w:rPr>
          <w:rFonts w:ascii="Times New Roman" w:hAnsi="Times New Roman"/>
          <w:sz w:val="20"/>
          <w:szCs w:val="22"/>
        </w:rPr>
        <w:t>According to the comparative analysis results in Table 2, the PWS proposed in this study performs best among the three strategies. Strategy B performs the worst, mainly because of lower failure rates in the early stages of equipment operation. By implementing a differentiated inspection interval settings, that is, extending the initial inspection interval and shortening the subsequent inspection intervals, it is possible to better align with the objective laws of equipment degradation. Strategy B has obvious shortcomings in practical applications: it is prone to over-inspection in the early stages of equipment operation, leading to increased inspection costs, and may result in insufficient inspection in the equipment aging phase, increasing the risk of failures. These dual negative impacts not only increase warranty costs but also reduce the warranty profit margins. More seriously, the increase in warranty costs will directly lead to higher product prices, which in turn affects market demand and ultimately compresses the manufacturer's overall profit margins. Therefore, implementing a differentiated inspection interval strategy has significant practical significance.</w:t>
      </w:r>
    </w:p>
    <w:p w14:paraId="5F770BE0" w14:textId="77777777" w:rsidR="00097C63" w:rsidRDefault="00FB6D14">
      <w:pPr>
        <w:ind w:firstLine="284"/>
        <w:rPr>
          <w:rFonts w:ascii="Times New Roman" w:hAnsi="Times New Roman"/>
          <w:sz w:val="20"/>
          <w:szCs w:val="22"/>
        </w:rPr>
      </w:pPr>
      <w:r>
        <w:rPr>
          <w:rFonts w:ascii="Times New Roman" w:hAnsi="Times New Roman"/>
          <w:sz w:val="20"/>
          <w:szCs w:val="22"/>
        </w:rPr>
        <w:t xml:space="preserve">Compared with the PWS, the performance of Strategy A is not satisfactory, which can be reasonably explained by the decision-making results. The data in Table 2 show that, to minimize warranty costs, Strategy A must adopt a higher inspection frequency. Although this high-frequency inspection strategy can effectively reduce the probability of post-failure repairs, frequent inspection downtimes significantly reduce equipment availability and directly affect the manufacturer's </w:t>
      </w:r>
      <w:r>
        <w:rPr>
          <w:rFonts w:ascii="Times New Roman" w:hAnsi="Times New Roman"/>
          <w:sz w:val="20"/>
          <w:szCs w:val="22"/>
        </w:rPr>
        <w:t>performance warranty profit through the reward-and-punishment incentive mechanism. In terms of revenue indicators, Strategy A performs worse than the PWS in both the manufacturer's warranty profit and total profit. This comparative result clearly shows that, in formulating warranty strategies, if manufacturers solely pursue reducing warranty costs, they will not only fail to expand their profit margins but may even have the opposite effect in some cases.</w:t>
      </w:r>
    </w:p>
    <w:p w14:paraId="0445BDE9" w14:textId="77777777" w:rsidR="00097C63" w:rsidRDefault="00FB6D14">
      <w:pPr>
        <w:pStyle w:val="Nagwek2"/>
      </w:pPr>
      <w:r>
        <w:t xml:space="preserve">6.2. </w:t>
      </w:r>
      <w:r>
        <w:rPr>
          <w:rFonts w:hint="eastAsia"/>
        </w:rPr>
        <w:t>Sensitivity analysis</w:t>
      </w:r>
    </w:p>
    <w:p w14:paraId="0C3A8DFE" w14:textId="77777777" w:rsidR="00097C63" w:rsidRDefault="00FB6D14">
      <w:pPr>
        <w:pStyle w:val="Nagwek2"/>
      </w:pPr>
      <w:r>
        <w:t xml:space="preserve">6.2.1. </w:t>
      </w:r>
      <w:r>
        <w:rPr>
          <w:rFonts w:hint="eastAsia"/>
        </w:rPr>
        <w:t>Impact analysis of IG degradation process parameters</w:t>
      </w:r>
    </w:p>
    <w:p w14:paraId="25421BB1" w14:textId="77777777" w:rsidR="00097C63" w:rsidRDefault="00FB6D14">
      <w:pPr>
        <w:rPr>
          <w:rFonts w:ascii="Times New Roman" w:hAnsi="Times New Roman"/>
          <w:sz w:val="20"/>
          <w:szCs w:val="22"/>
        </w:rPr>
      </w:pPr>
      <w:r>
        <w:rPr>
          <w:rFonts w:ascii="Times New Roman" w:hAnsi="Times New Roman" w:hint="eastAsia"/>
          <w:sz w:val="20"/>
          <w:szCs w:val="22"/>
        </w:rPr>
        <w:t xml:space="preserve">The mean parameter u and the shape parameter </w:t>
      </w:r>
      <w:r>
        <w:rPr>
          <w:rFonts w:ascii="Times New Roman" w:hAnsi="Times New Roman"/>
          <w:sz w:val="20"/>
          <w:szCs w:val="22"/>
        </w:rPr>
        <w:t>λ</w:t>
      </w:r>
      <w:r>
        <w:rPr>
          <w:rFonts w:ascii="Times New Roman" w:hAnsi="Times New Roman" w:hint="eastAsia"/>
          <w:sz w:val="20"/>
          <w:szCs w:val="22"/>
        </w:rPr>
        <w:t xml:space="preserve"> of the IG process can significantly affect the degradation process of the equipment state. From formulas (3), (4), and (5), it is known that the larger the value of u, the greater the variance, skewness, and kurtosis of the IG distribution of the equipment state degradation, which in turn leads to an accelerated degradation rate of the equipment state. Conversely, the larger the value of </w:t>
      </w:r>
      <w:r>
        <w:rPr>
          <w:rFonts w:ascii="Times New Roman" w:hAnsi="Times New Roman"/>
          <w:sz w:val="20"/>
          <w:szCs w:val="22"/>
        </w:rPr>
        <w:t>λ</w:t>
      </w:r>
      <w:r>
        <w:rPr>
          <w:rFonts w:ascii="Times New Roman" w:hAnsi="Times New Roman" w:hint="eastAsia"/>
          <w:sz w:val="20"/>
          <w:szCs w:val="22"/>
        </w:rPr>
        <w:t xml:space="preserve">, the smaller the variance, skewness, and kurtosis of the IG distribution of the equipment state degradation, which, in turn, slows down the degradation rate of the equipment state. To explore the impact of the IG degradation process parameters on the optimal warranty plan, this study sets parameter variation ranges as follows: u increases from 1.5 to 1.7 with an increment of 0.1; </w:t>
      </w:r>
      <w:r>
        <w:rPr>
          <w:rFonts w:ascii="Times New Roman" w:hAnsi="Times New Roman"/>
          <w:sz w:val="20"/>
          <w:szCs w:val="22"/>
        </w:rPr>
        <w:t>λ</w:t>
      </w:r>
      <w:r>
        <w:rPr>
          <w:rFonts w:ascii="Times New Roman" w:hAnsi="Times New Roman" w:hint="eastAsia"/>
          <w:sz w:val="20"/>
          <w:szCs w:val="22"/>
        </w:rPr>
        <w:t xml:space="preserve"> increases from 0.6 to 1.0 with an increment of 0.1. The specific calculation results for the optimal warranty plan under each parameter combination are detailed in Table 3.</w:t>
      </w:r>
    </w:p>
    <w:p w14:paraId="24AA86B2" w14:textId="77777777" w:rsidR="00097C63" w:rsidRDefault="00FB6D14">
      <w:pPr>
        <w:ind w:firstLine="284"/>
        <w:rPr>
          <w:rFonts w:ascii="Times New Roman" w:hAnsi="Times New Roman"/>
          <w:sz w:val="20"/>
          <w:szCs w:val="22"/>
        </w:rPr>
      </w:pPr>
      <w:r>
        <w:rPr>
          <w:rFonts w:ascii="Times New Roman" w:hAnsi="Times New Roman" w:hint="eastAsia"/>
          <w:sz w:val="20"/>
          <w:szCs w:val="22"/>
        </w:rPr>
        <w:t>The maximum warranty profit of the manufacturer formed under different degradation process parameter combinations is shown in Figure 8.</w:t>
      </w:r>
    </w:p>
    <w:p w14:paraId="29DA1F34" w14:textId="77777777" w:rsidR="00097C63" w:rsidRDefault="00097C63">
      <w:pPr>
        <w:rPr>
          <w:rFonts w:ascii="Times New Roman" w:hAnsi="Times New Roman"/>
          <w:sz w:val="20"/>
          <w:szCs w:val="22"/>
        </w:rPr>
        <w:sectPr w:rsidR="00097C63">
          <w:type w:val="continuous"/>
          <w:pgSz w:w="11906" w:h="16838"/>
          <w:pgMar w:top="1219" w:right="567" w:bottom="1219" w:left="567" w:header="765" w:footer="567" w:gutter="0"/>
          <w:cols w:num="2" w:space="566"/>
          <w:docGrid w:type="linesAndChars" w:linePitch="313" w:charSpace="139"/>
        </w:sectPr>
      </w:pPr>
    </w:p>
    <w:p w14:paraId="1A3B4E0B" w14:textId="77777777" w:rsidR="00097C63" w:rsidRDefault="00FB6D14">
      <w:pPr>
        <w:rPr>
          <w:rFonts w:ascii="Times New Roman" w:hAnsi="Times New Roman"/>
          <w:sz w:val="20"/>
          <w:szCs w:val="22"/>
        </w:rPr>
      </w:pPr>
      <w:r>
        <w:rPr>
          <w:rFonts w:ascii="Times New Roman" w:hAnsi="Times New Roman"/>
          <w:sz w:val="20"/>
          <w:szCs w:val="22"/>
        </w:rPr>
        <w:t xml:space="preserve">Table 3. </w:t>
      </w:r>
      <w:r>
        <w:rPr>
          <w:rFonts w:ascii="Times New Roman" w:hAnsi="Times New Roman" w:hint="eastAsia"/>
          <w:sz w:val="20"/>
          <w:szCs w:val="22"/>
        </w:rPr>
        <w:t>Optimal warranty plans corresponding to IG degradation process parameters.</w:t>
      </w:r>
    </w:p>
    <w:tbl>
      <w:tblPr>
        <w:tblStyle w:val="Tabela-Siatka"/>
        <w:tblW w:w="5007"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1033"/>
        <w:gridCol w:w="744"/>
        <w:gridCol w:w="300"/>
        <w:gridCol w:w="1051"/>
        <w:gridCol w:w="1046"/>
        <w:gridCol w:w="1046"/>
        <w:gridCol w:w="162"/>
        <w:gridCol w:w="887"/>
        <w:gridCol w:w="1042"/>
        <w:gridCol w:w="904"/>
        <w:gridCol w:w="703"/>
        <w:gridCol w:w="13"/>
      </w:tblGrid>
      <w:tr w:rsidR="00097C63" w14:paraId="3C5CCD20" w14:textId="77777777">
        <w:trPr>
          <w:gridAfter w:val="1"/>
          <w:wAfter w:w="7" w:type="pct"/>
          <w:jc w:val="center"/>
        </w:trPr>
        <w:tc>
          <w:tcPr>
            <w:tcW w:w="860" w:type="pct"/>
            <w:tcBorders>
              <w:top w:val="single" w:sz="12" w:space="0" w:color="auto"/>
              <w:right w:val="nil"/>
            </w:tcBorders>
          </w:tcPr>
          <w:p w14:paraId="30662AE3" w14:textId="77777777" w:rsidR="00097C63" w:rsidRDefault="00FB6D14">
            <w:pPr>
              <w:jc w:val="center"/>
              <w:rPr>
                <w:rFonts w:ascii="Times New Roman" w:hAnsi="Times New Roman"/>
                <w:sz w:val="16"/>
                <w:szCs w:val="16"/>
              </w:rPr>
            </w:pPr>
            <m:oMathPara>
              <m:oMath>
                <m:r>
                  <w:rPr>
                    <w:rFonts w:ascii="Cambria Math" w:hAnsi="Cambria Math"/>
                    <w:sz w:val="16"/>
                    <w:szCs w:val="16"/>
                  </w:rPr>
                  <m:t>u=1.5</m:t>
                </m:r>
              </m:oMath>
            </m:oMathPara>
          </w:p>
        </w:tc>
        <w:tc>
          <w:tcPr>
            <w:tcW w:w="1450" w:type="pct"/>
            <w:gridSpan w:val="4"/>
            <w:tcBorders>
              <w:top w:val="single" w:sz="12" w:space="0" w:color="auto"/>
              <w:left w:val="nil"/>
              <w:bottom w:val="single" w:sz="4" w:space="0" w:color="auto"/>
              <w:right w:val="nil"/>
            </w:tcBorders>
          </w:tcPr>
          <w:p w14:paraId="5A88204D" w14:textId="77777777" w:rsidR="00097C63" w:rsidRDefault="00FB6D14">
            <w:pPr>
              <w:jc w:val="center"/>
              <w:rPr>
                <w:rFonts w:ascii="Times New Roman" w:hAnsi="Times New Roman"/>
                <w:sz w:val="16"/>
                <w:szCs w:val="16"/>
              </w:rPr>
            </w:pPr>
            <w:r>
              <w:rPr>
                <w:rFonts w:ascii="Times New Roman" w:hAnsi="Times New Roman"/>
                <w:sz w:val="16"/>
                <w:szCs w:val="16"/>
              </w:rPr>
              <w:t>PWS</w:t>
            </w:r>
          </w:p>
        </w:tc>
        <w:tc>
          <w:tcPr>
            <w:tcW w:w="1456" w:type="pct"/>
            <w:gridSpan w:val="4"/>
            <w:tcBorders>
              <w:top w:val="single" w:sz="12" w:space="0" w:color="auto"/>
              <w:left w:val="nil"/>
              <w:bottom w:val="single" w:sz="4" w:space="0" w:color="auto"/>
              <w:right w:val="nil"/>
            </w:tcBorders>
          </w:tcPr>
          <w:p w14:paraId="334C2202" w14:textId="77777777" w:rsidR="00097C63" w:rsidRDefault="00FB6D14">
            <w:pPr>
              <w:jc w:val="center"/>
              <w:rPr>
                <w:rFonts w:ascii="Times New Roman" w:hAnsi="Times New Roman"/>
                <w:sz w:val="16"/>
                <w:szCs w:val="16"/>
              </w:rPr>
            </w:pPr>
            <w:r>
              <w:rPr>
                <w:rFonts w:ascii="Times New Roman" w:hAnsi="Times New Roman"/>
                <w:sz w:val="16"/>
                <w:szCs w:val="16"/>
              </w:rPr>
              <w:t>Strategy A</w:t>
            </w:r>
          </w:p>
        </w:tc>
        <w:tc>
          <w:tcPr>
            <w:tcW w:w="1227" w:type="pct"/>
            <w:gridSpan w:val="3"/>
            <w:tcBorders>
              <w:top w:val="single" w:sz="12" w:space="0" w:color="auto"/>
              <w:left w:val="nil"/>
              <w:bottom w:val="single" w:sz="4" w:space="0" w:color="auto"/>
            </w:tcBorders>
          </w:tcPr>
          <w:p w14:paraId="0AC1801F" w14:textId="77777777" w:rsidR="00097C63" w:rsidRDefault="00FB6D14">
            <w:pPr>
              <w:jc w:val="center"/>
              <w:rPr>
                <w:rFonts w:ascii="Times New Roman" w:hAnsi="Times New Roman"/>
                <w:sz w:val="16"/>
                <w:szCs w:val="16"/>
              </w:rPr>
            </w:pPr>
            <w:r>
              <w:rPr>
                <w:rFonts w:ascii="Times New Roman" w:hAnsi="Times New Roman"/>
                <w:sz w:val="16"/>
                <w:szCs w:val="16"/>
              </w:rPr>
              <w:t>Strategy B</w:t>
            </w:r>
          </w:p>
        </w:tc>
      </w:tr>
      <w:tr w:rsidR="00097C63" w14:paraId="5F19A465" w14:textId="77777777">
        <w:trPr>
          <w:gridAfter w:val="1"/>
          <w:wAfter w:w="7" w:type="pct"/>
          <w:jc w:val="center"/>
        </w:trPr>
        <w:tc>
          <w:tcPr>
            <w:tcW w:w="860" w:type="pct"/>
            <w:tcBorders>
              <w:bottom w:val="single" w:sz="4" w:space="0" w:color="auto"/>
              <w:right w:val="nil"/>
            </w:tcBorders>
          </w:tcPr>
          <w:p w14:paraId="4F361060" w14:textId="77777777" w:rsidR="00097C63" w:rsidRDefault="00FB6D14">
            <w:pPr>
              <w:jc w:val="center"/>
              <w:rPr>
                <w:rFonts w:ascii="Times New Roman" w:hAnsi="Times New Roman"/>
                <w:sz w:val="16"/>
                <w:szCs w:val="16"/>
              </w:rPr>
            </w:pPr>
            <m:oMathPara>
              <m:oMath>
                <m:r>
                  <w:rPr>
                    <w:rFonts w:ascii="Cambria Math" w:hAnsi="Cambria Math"/>
                    <w:sz w:val="16"/>
                    <w:szCs w:val="16"/>
                  </w:rPr>
                  <m:t>λ</m:t>
                </m:r>
              </m:oMath>
            </m:oMathPara>
          </w:p>
        </w:tc>
        <w:tc>
          <w:tcPr>
            <w:tcW w:w="479" w:type="pct"/>
            <w:tcBorders>
              <w:top w:val="single" w:sz="4" w:space="0" w:color="auto"/>
              <w:left w:val="nil"/>
              <w:bottom w:val="single" w:sz="4" w:space="0" w:color="auto"/>
              <w:right w:val="nil"/>
            </w:tcBorders>
          </w:tcPr>
          <w:p w14:paraId="681F2537"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84" w:type="pct"/>
            <w:gridSpan w:val="2"/>
            <w:tcBorders>
              <w:top w:val="single" w:sz="4" w:space="0" w:color="auto"/>
              <w:left w:val="nil"/>
              <w:bottom w:val="single" w:sz="4" w:space="0" w:color="auto"/>
              <w:right w:val="nil"/>
            </w:tcBorders>
          </w:tcPr>
          <w:p w14:paraId="0DE38FDE"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486" w:type="pct"/>
            <w:tcBorders>
              <w:top w:val="single" w:sz="4" w:space="0" w:color="auto"/>
              <w:left w:val="nil"/>
              <w:bottom w:val="single" w:sz="4" w:space="0" w:color="auto"/>
              <w:right w:val="nil"/>
            </w:tcBorders>
          </w:tcPr>
          <w:p w14:paraId="6E12E5CD"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c>
          <w:tcPr>
            <w:tcW w:w="485" w:type="pct"/>
            <w:tcBorders>
              <w:top w:val="single" w:sz="4" w:space="0" w:color="auto"/>
              <w:left w:val="nil"/>
              <w:bottom w:val="single" w:sz="4" w:space="0" w:color="auto"/>
              <w:right w:val="nil"/>
            </w:tcBorders>
          </w:tcPr>
          <w:p w14:paraId="6606E57A"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85" w:type="pct"/>
            <w:tcBorders>
              <w:top w:val="single" w:sz="4" w:space="0" w:color="auto"/>
              <w:left w:val="nil"/>
              <w:bottom w:val="single" w:sz="4" w:space="0" w:color="auto"/>
              <w:right w:val="nil"/>
            </w:tcBorders>
          </w:tcPr>
          <w:p w14:paraId="319E6AD6"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485" w:type="pct"/>
            <w:gridSpan w:val="2"/>
            <w:tcBorders>
              <w:top w:val="single" w:sz="4" w:space="0" w:color="auto"/>
              <w:left w:val="nil"/>
              <w:bottom w:val="single" w:sz="4" w:space="0" w:color="auto"/>
              <w:right w:val="nil"/>
            </w:tcBorders>
          </w:tcPr>
          <w:p w14:paraId="257574B4"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c>
          <w:tcPr>
            <w:tcW w:w="483" w:type="pct"/>
            <w:tcBorders>
              <w:top w:val="single" w:sz="4" w:space="0" w:color="auto"/>
              <w:left w:val="nil"/>
              <w:bottom w:val="single" w:sz="4" w:space="0" w:color="auto"/>
              <w:right w:val="nil"/>
            </w:tcBorders>
          </w:tcPr>
          <w:p w14:paraId="260AD284"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19" w:type="pct"/>
            <w:tcBorders>
              <w:top w:val="single" w:sz="4" w:space="0" w:color="auto"/>
              <w:left w:val="nil"/>
              <w:bottom w:val="single" w:sz="4" w:space="0" w:color="auto"/>
              <w:right w:val="nil"/>
            </w:tcBorders>
          </w:tcPr>
          <w:p w14:paraId="083AE37B"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326" w:type="pct"/>
            <w:tcBorders>
              <w:top w:val="single" w:sz="4" w:space="0" w:color="auto"/>
              <w:left w:val="nil"/>
              <w:bottom w:val="single" w:sz="4" w:space="0" w:color="auto"/>
            </w:tcBorders>
          </w:tcPr>
          <w:p w14:paraId="56358AC6"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r>
      <w:tr w:rsidR="00097C63" w14:paraId="5D2ED68B" w14:textId="77777777">
        <w:trPr>
          <w:gridAfter w:val="1"/>
          <w:wAfter w:w="7" w:type="pct"/>
          <w:trHeight w:val="47"/>
          <w:jc w:val="center"/>
        </w:trPr>
        <w:tc>
          <w:tcPr>
            <w:tcW w:w="860" w:type="pct"/>
            <w:tcBorders>
              <w:top w:val="single" w:sz="4" w:space="0" w:color="auto"/>
              <w:right w:val="nil"/>
            </w:tcBorders>
          </w:tcPr>
          <w:p w14:paraId="75C4A80E" w14:textId="77777777" w:rsidR="00097C63" w:rsidRDefault="00FB6D14">
            <w:pPr>
              <w:jc w:val="center"/>
              <w:rPr>
                <w:rFonts w:ascii="Times New Roman" w:hAnsi="Times New Roman"/>
                <w:sz w:val="16"/>
                <w:szCs w:val="16"/>
              </w:rPr>
            </w:pPr>
            <w:r>
              <w:rPr>
                <w:rFonts w:ascii="Times New Roman" w:hAnsi="Times New Roman"/>
                <w:sz w:val="16"/>
                <w:szCs w:val="16"/>
              </w:rPr>
              <w:t>0.6</w:t>
            </w:r>
          </w:p>
        </w:tc>
        <w:tc>
          <w:tcPr>
            <w:tcW w:w="479" w:type="pct"/>
            <w:tcBorders>
              <w:top w:val="single" w:sz="4" w:space="0" w:color="auto"/>
              <w:left w:val="nil"/>
              <w:right w:val="nil"/>
            </w:tcBorders>
            <w:vAlign w:val="center"/>
          </w:tcPr>
          <w:p w14:paraId="14701A79" w14:textId="77777777" w:rsidR="00097C63" w:rsidRDefault="00FB6D14">
            <w:pPr>
              <w:jc w:val="center"/>
              <w:rPr>
                <w:rFonts w:ascii="Times New Roman" w:hAnsi="Times New Roman"/>
                <w:sz w:val="16"/>
                <w:szCs w:val="16"/>
              </w:rPr>
            </w:pPr>
            <w:r>
              <w:rPr>
                <w:rFonts w:ascii="Times New Roman" w:hAnsi="Times New Roman"/>
                <w:sz w:val="16"/>
                <w:szCs w:val="16"/>
              </w:rPr>
              <w:t>11.44</w:t>
            </w:r>
          </w:p>
        </w:tc>
        <w:tc>
          <w:tcPr>
            <w:tcW w:w="484" w:type="pct"/>
            <w:gridSpan w:val="2"/>
            <w:tcBorders>
              <w:top w:val="single" w:sz="4" w:space="0" w:color="auto"/>
              <w:left w:val="nil"/>
              <w:right w:val="nil"/>
            </w:tcBorders>
            <w:vAlign w:val="center"/>
          </w:tcPr>
          <w:p w14:paraId="2BB45153" w14:textId="77777777" w:rsidR="00097C63" w:rsidRDefault="00FB6D14">
            <w:pPr>
              <w:jc w:val="center"/>
              <w:rPr>
                <w:rFonts w:ascii="Times New Roman" w:hAnsi="Times New Roman"/>
                <w:sz w:val="16"/>
                <w:szCs w:val="16"/>
              </w:rPr>
            </w:pPr>
            <w:r>
              <w:rPr>
                <w:rFonts w:ascii="Times New Roman" w:hAnsi="Times New Roman"/>
                <w:sz w:val="16"/>
                <w:szCs w:val="16"/>
              </w:rPr>
              <w:t>13.33</w:t>
            </w:r>
          </w:p>
        </w:tc>
        <w:tc>
          <w:tcPr>
            <w:tcW w:w="486" w:type="pct"/>
            <w:tcBorders>
              <w:top w:val="single" w:sz="4" w:space="0" w:color="auto"/>
              <w:left w:val="nil"/>
              <w:right w:val="nil"/>
            </w:tcBorders>
            <w:vAlign w:val="center"/>
          </w:tcPr>
          <w:p w14:paraId="3FA0ADED" w14:textId="77777777" w:rsidR="00097C63" w:rsidRDefault="00FB6D14">
            <w:pPr>
              <w:jc w:val="center"/>
              <w:rPr>
                <w:rFonts w:ascii="Times New Roman" w:hAnsi="Times New Roman"/>
                <w:sz w:val="16"/>
                <w:szCs w:val="16"/>
              </w:rPr>
            </w:pPr>
            <w:r>
              <w:rPr>
                <w:rFonts w:ascii="Times New Roman" w:hAnsi="Times New Roman"/>
                <w:sz w:val="16"/>
                <w:szCs w:val="16"/>
              </w:rPr>
              <w:t>30.12</w:t>
            </w:r>
          </w:p>
        </w:tc>
        <w:tc>
          <w:tcPr>
            <w:tcW w:w="485" w:type="pct"/>
            <w:tcBorders>
              <w:top w:val="single" w:sz="4" w:space="0" w:color="auto"/>
              <w:left w:val="nil"/>
              <w:right w:val="nil"/>
            </w:tcBorders>
            <w:vAlign w:val="center"/>
          </w:tcPr>
          <w:p w14:paraId="123D2F99" w14:textId="77777777" w:rsidR="00097C63" w:rsidRDefault="00FB6D14">
            <w:pPr>
              <w:jc w:val="center"/>
              <w:rPr>
                <w:rFonts w:ascii="Times New Roman" w:hAnsi="Times New Roman"/>
                <w:sz w:val="16"/>
                <w:szCs w:val="16"/>
              </w:rPr>
            </w:pPr>
            <w:r>
              <w:rPr>
                <w:rFonts w:ascii="Times New Roman" w:hAnsi="Times New Roman"/>
                <w:sz w:val="16"/>
                <w:szCs w:val="16"/>
              </w:rPr>
              <w:t>15.85</w:t>
            </w:r>
          </w:p>
        </w:tc>
        <w:tc>
          <w:tcPr>
            <w:tcW w:w="485" w:type="pct"/>
            <w:tcBorders>
              <w:top w:val="single" w:sz="4" w:space="0" w:color="auto"/>
              <w:left w:val="nil"/>
              <w:right w:val="nil"/>
            </w:tcBorders>
            <w:vAlign w:val="center"/>
          </w:tcPr>
          <w:p w14:paraId="5057B388" w14:textId="77777777" w:rsidR="00097C63" w:rsidRDefault="00FB6D14">
            <w:pPr>
              <w:jc w:val="center"/>
              <w:rPr>
                <w:rFonts w:ascii="Times New Roman" w:hAnsi="Times New Roman"/>
                <w:sz w:val="16"/>
                <w:szCs w:val="16"/>
              </w:rPr>
            </w:pPr>
            <w:r>
              <w:rPr>
                <w:rFonts w:ascii="Times New Roman" w:hAnsi="Times New Roman"/>
                <w:sz w:val="16"/>
                <w:szCs w:val="16"/>
              </w:rPr>
              <w:t>5.00</w:t>
            </w:r>
          </w:p>
        </w:tc>
        <w:tc>
          <w:tcPr>
            <w:tcW w:w="485" w:type="pct"/>
            <w:gridSpan w:val="2"/>
            <w:tcBorders>
              <w:top w:val="single" w:sz="4" w:space="0" w:color="auto"/>
              <w:left w:val="nil"/>
              <w:right w:val="nil"/>
            </w:tcBorders>
            <w:vAlign w:val="center"/>
          </w:tcPr>
          <w:p w14:paraId="4F8F5607" w14:textId="77777777" w:rsidR="00097C63" w:rsidRDefault="00FB6D14">
            <w:pPr>
              <w:jc w:val="center"/>
              <w:rPr>
                <w:rFonts w:ascii="Times New Roman" w:hAnsi="Times New Roman"/>
                <w:sz w:val="16"/>
                <w:szCs w:val="16"/>
              </w:rPr>
            </w:pPr>
            <w:r>
              <w:rPr>
                <w:rFonts w:ascii="Times New Roman" w:hAnsi="Times New Roman"/>
                <w:sz w:val="16"/>
                <w:szCs w:val="16"/>
              </w:rPr>
              <w:t>39.74</w:t>
            </w:r>
          </w:p>
        </w:tc>
        <w:tc>
          <w:tcPr>
            <w:tcW w:w="483" w:type="pct"/>
            <w:tcBorders>
              <w:top w:val="single" w:sz="4" w:space="0" w:color="auto"/>
              <w:left w:val="nil"/>
              <w:right w:val="nil"/>
            </w:tcBorders>
            <w:vAlign w:val="center"/>
          </w:tcPr>
          <w:p w14:paraId="48E41A6B" w14:textId="77777777" w:rsidR="00097C63" w:rsidRDefault="00FB6D14">
            <w:pPr>
              <w:jc w:val="center"/>
              <w:rPr>
                <w:rFonts w:ascii="Times New Roman" w:hAnsi="Times New Roman"/>
                <w:sz w:val="16"/>
                <w:szCs w:val="16"/>
              </w:rPr>
            </w:pPr>
            <w:r>
              <w:rPr>
                <w:rFonts w:ascii="Times New Roman" w:hAnsi="Times New Roman"/>
                <w:sz w:val="16"/>
                <w:szCs w:val="16"/>
              </w:rPr>
              <w:t>9.23</w:t>
            </w:r>
          </w:p>
        </w:tc>
        <w:tc>
          <w:tcPr>
            <w:tcW w:w="419" w:type="pct"/>
            <w:tcBorders>
              <w:top w:val="single" w:sz="4" w:space="0" w:color="auto"/>
              <w:left w:val="nil"/>
              <w:right w:val="nil"/>
            </w:tcBorders>
            <w:vAlign w:val="center"/>
          </w:tcPr>
          <w:p w14:paraId="71D64679" w14:textId="77777777" w:rsidR="00097C63" w:rsidRDefault="00FB6D14">
            <w:pPr>
              <w:jc w:val="center"/>
              <w:rPr>
                <w:rFonts w:ascii="Times New Roman" w:hAnsi="Times New Roman"/>
                <w:sz w:val="16"/>
                <w:szCs w:val="16"/>
              </w:rPr>
            </w:pPr>
            <w:r>
              <w:rPr>
                <w:rFonts w:ascii="Times New Roman" w:hAnsi="Times New Roman"/>
                <w:sz w:val="16"/>
                <w:szCs w:val="16"/>
              </w:rPr>
              <w:t>9.23</w:t>
            </w:r>
          </w:p>
        </w:tc>
        <w:tc>
          <w:tcPr>
            <w:tcW w:w="326" w:type="pct"/>
            <w:tcBorders>
              <w:top w:val="single" w:sz="4" w:space="0" w:color="auto"/>
              <w:left w:val="nil"/>
            </w:tcBorders>
            <w:vAlign w:val="center"/>
          </w:tcPr>
          <w:p w14:paraId="445A745C" w14:textId="77777777" w:rsidR="00097C63" w:rsidRDefault="00FB6D14">
            <w:pPr>
              <w:jc w:val="center"/>
              <w:rPr>
                <w:rFonts w:ascii="Times New Roman" w:hAnsi="Times New Roman"/>
                <w:sz w:val="16"/>
                <w:szCs w:val="16"/>
              </w:rPr>
            </w:pPr>
            <w:r>
              <w:rPr>
                <w:rFonts w:ascii="Times New Roman" w:hAnsi="Times New Roman"/>
                <w:sz w:val="16"/>
                <w:szCs w:val="16"/>
              </w:rPr>
              <w:t>30.55</w:t>
            </w:r>
          </w:p>
        </w:tc>
      </w:tr>
      <w:tr w:rsidR="00097C63" w14:paraId="42B935D5" w14:textId="77777777">
        <w:trPr>
          <w:gridAfter w:val="1"/>
          <w:wAfter w:w="7" w:type="pct"/>
          <w:jc w:val="center"/>
        </w:trPr>
        <w:tc>
          <w:tcPr>
            <w:tcW w:w="860" w:type="pct"/>
            <w:tcBorders>
              <w:right w:val="nil"/>
            </w:tcBorders>
          </w:tcPr>
          <w:p w14:paraId="68E98CA1" w14:textId="77777777" w:rsidR="00097C63" w:rsidRDefault="00FB6D14">
            <w:pPr>
              <w:jc w:val="center"/>
              <w:rPr>
                <w:rFonts w:ascii="Times New Roman" w:hAnsi="Times New Roman"/>
                <w:sz w:val="16"/>
                <w:szCs w:val="16"/>
              </w:rPr>
            </w:pPr>
            <w:r>
              <w:rPr>
                <w:rFonts w:ascii="Times New Roman" w:hAnsi="Times New Roman"/>
                <w:sz w:val="16"/>
                <w:szCs w:val="16"/>
              </w:rPr>
              <w:t>0.7</w:t>
            </w:r>
          </w:p>
        </w:tc>
        <w:tc>
          <w:tcPr>
            <w:tcW w:w="479" w:type="pct"/>
            <w:tcBorders>
              <w:left w:val="nil"/>
              <w:right w:val="nil"/>
            </w:tcBorders>
            <w:vAlign w:val="center"/>
          </w:tcPr>
          <w:p w14:paraId="62C4D92C" w14:textId="77777777" w:rsidR="00097C63" w:rsidRDefault="00FB6D14">
            <w:pPr>
              <w:jc w:val="center"/>
              <w:rPr>
                <w:rFonts w:ascii="Times New Roman" w:hAnsi="Times New Roman"/>
                <w:sz w:val="16"/>
                <w:szCs w:val="16"/>
              </w:rPr>
            </w:pPr>
            <w:r>
              <w:rPr>
                <w:rFonts w:ascii="Times New Roman" w:hAnsi="Times New Roman"/>
                <w:sz w:val="16"/>
                <w:szCs w:val="16"/>
              </w:rPr>
              <w:t>19.21</w:t>
            </w:r>
          </w:p>
        </w:tc>
        <w:tc>
          <w:tcPr>
            <w:tcW w:w="484" w:type="pct"/>
            <w:gridSpan w:val="2"/>
            <w:tcBorders>
              <w:left w:val="nil"/>
              <w:right w:val="nil"/>
            </w:tcBorders>
            <w:vAlign w:val="center"/>
          </w:tcPr>
          <w:p w14:paraId="34CC6146" w14:textId="77777777" w:rsidR="00097C63" w:rsidRDefault="00FB6D14">
            <w:pPr>
              <w:jc w:val="center"/>
              <w:rPr>
                <w:rFonts w:ascii="Times New Roman" w:hAnsi="Times New Roman"/>
                <w:sz w:val="16"/>
                <w:szCs w:val="16"/>
              </w:rPr>
            </w:pPr>
            <w:r>
              <w:rPr>
                <w:rFonts w:ascii="Times New Roman" w:hAnsi="Times New Roman"/>
                <w:sz w:val="16"/>
                <w:szCs w:val="16"/>
              </w:rPr>
              <w:t>4.95</w:t>
            </w:r>
          </w:p>
        </w:tc>
        <w:tc>
          <w:tcPr>
            <w:tcW w:w="486" w:type="pct"/>
            <w:tcBorders>
              <w:left w:val="nil"/>
              <w:right w:val="nil"/>
            </w:tcBorders>
            <w:vAlign w:val="center"/>
          </w:tcPr>
          <w:p w14:paraId="1FBC90AD" w14:textId="77777777" w:rsidR="00097C63" w:rsidRDefault="00FB6D14">
            <w:pPr>
              <w:jc w:val="center"/>
              <w:rPr>
                <w:rFonts w:ascii="Times New Roman" w:hAnsi="Times New Roman"/>
                <w:sz w:val="16"/>
                <w:szCs w:val="16"/>
              </w:rPr>
            </w:pPr>
            <w:r>
              <w:rPr>
                <w:rFonts w:ascii="Times New Roman" w:hAnsi="Times New Roman"/>
                <w:sz w:val="16"/>
                <w:szCs w:val="16"/>
              </w:rPr>
              <w:t>38.66</w:t>
            </w:r>
          </w:p>
        </w:tc>
        <w:tc>
          <w:tcPr>
            <w:tcW w:w="485" w:type="pct"/>
            <w:tcBorders>
              <w:left w:val="nil"/>
              <w:right w:val="nil"/>
            </w:tcBorders>
            <w:vAlign w:val="center"/>
          </w:tcPr>
          <w:p w14:paraId="2006F2F3" w14:textId="77777777" w:rsidR="00097C63" w:rsidRDefault="00FB6D14">
            <w:pPr>
              <w:jc w:val="center"/>
              <w:rPr>
                <w:rFonts w:ascii="Times New Roman" w:hAnsi="Times New Roman"/>
                <w:sz w:val="16"/>
                <w:szCs w:val="16"/>
              </w:rPr>
            </w:pPr>
            <w:r>
              <w:rPr>
                <w:rFonts w:ascii="Times New Roman" w:hAnsi="Times New Roman"/>
                <w:sz w:val="16"/>
                <w:szCs w:val="16"/>
              </w:rPr>
              <w:t>18.72</w:t>
            </w:r>
          </w:p>
        </w:tc>
        <w:tc>
          <w:tcPr>
            <w:tcW w:w="485" w:type="pct"/>
            <w:tcBorders>
              <w:left w:val="nil"/>
              <w:right w:val="nil"/>
            </w:tcBorders>
            <w:vAlign w:val="center"/>
          </w:tcPr>
          <w:p w14:paraId="45A30D4C" w14:textId="77777777" w:rsidR="00097C63" w:rsidRDefault="00FB6D14">
            <w:pPr>
              <w:jc w:val="center"/>
              <w:rPr>
                <w:rFonts w:ascii="Times New Roman" w:hAnsi="Times New Roman"/>
                <w:sz w:val="16"/>
                <w:szCs w:val="16"/>
              </w:rPr>
            </w:pPr>
            <w:r>
              <w:rPr>
                <w:rFonts w:ascii="Times New Roman" w:hAnsi="Times New Roman"/>
                <w:sz w:val="16"/>
                <w:szCs w:val="16"/>
              </w:rPr>
              <w:t>4.61</w:t>
            </w:r>
          </w:p>
        </w:tc>
        <w:tc>
          <w:tcPr>
            <w:tcW w:w="485" w:type="pct"/>
            <w:gridSpan w:val="2"/>
            <w:tcBorders>
              <w:left w:val="nil"/>
              <w:right w:val="nil"/>
            </w:tcBorders>
            <w:vAlign w:val="center"/>
          </w:tcPr>
          <w:p w14:paraId="1B41FF38" w14:textId="77777777" w:rsidR="00097C63" w:rsidRDefault="00FB6D14">
            <w:pPr>
              <w:jc w:val="center"/>
              <w:rPr>
                <w:rFonts w:ascii="Times New Roman" w:hAnsi="Times New Roman"/>
                <w:sz w:val="16"/>
                <w:szCs w:val="16"/>
              </w:rPr>
            </w:pPr>
            <w:r>
              <w:rPr>
                <w:rFonts w:ascii="Times New Roman" w:hAnsi="Times New Roman"/>
                <w:sz w:val="16"/>
                <w:szCs w:val="16"/>
              </w:rPr>
              <w:t>39.47</w:t>
            </w:r>
          </w:p>
        </w:tc>
        <w:tc>
          <w:tcPr>
            <w:tcW w:w="483" w:type="pct"/>
            <w:tcBorders>
              <w:left w:val="nil"/>
              <w:right w:val="nil"/>
            </w:tcBorders>
            <w:vAlign w:val="center"/>
          </w:tcPr>
          <w:p w14:paraId="4DE8BC51" w14:textId="77777777" w:rsidR="00097C63" w:rsidRDefault="00FB6D14">
            <w:pPr>
              <w:jc w:val="center"/>
              <w:rPr>
                <w:rFonts w:ascii="Times New Roman" w:hAnsi="Times New Roman"/>
                <w:sz w:val="16"/>
                <w:szCs w:val="16"/>
              </w:rPr>
            </w:pPr>
            <w:r>
              <w:rPr>
                <w:rFonts w:ascii="Times New Roman" w:hAnsi="Times New Roman"/>
                <w:sz w:val="16"/>
                <w:szCs w:val="16"/>
              </w:rPr>
              <w:t>10.73</w:t>
            </w:r>
          </w:p>
        </w:tc>
        <w:tc>
          <w:tcPr>
            <w:tcW w:w="419" w:type="pct"/>
            <w:tcBorders>
              <w:left w:val="nil"/>
              <w:right w:val="nil"/>
            </w:tcBorders>
            <w:vAlign w:val="center"/>
          </w:tcPr>
          <w:p w14:paraId="748D595F" w14:textId="77777777" w:rsidR="00097C63" w:rsidRDefault="00FB6D14">
            <w:pPr>
              <w:jc w:val="center"/>
              <w:rPr>
                <w:rFonts w:ascii="Times New Roman" w:hAnsi="Times New Roman"/>
                <w:sz w:val="16"/>
                <w:szCs w:val="16"/>
              </w:rPr>
            </w:pPr>
            <w:r>
              <w:rPr>
                <w:rFonts w:ascii="Times New Roman" w:hAnsi="Times New Roman"/>
                <w:sz w:val="16"/>
                <w:szCs w:val="16"/>
              </w:rPr>
              <w:t>10.73</w:t>
            </w:r>
          </w:p>
        </w:tc>
        <w:tc>
          <w:tcPr>
            <w:tcW w:w="326" w:type="pct"/>
            <w:tcBorders>
              <w:left w:val="nil"/>
            </w:tcBorders>
            <w:vAlign w:val="center"/>
          </w:tcPr>
          <w:p w14:paraId="6DAA8B91" w14:textId="77777777" w:rsidR="00097C63" w:rsidRDefault="00FB6D14">
            <w:pPr>
              <w:jc w:val="center"/>
              <w:rPr>
                <w:rFonts w:ascii="Times New Roman" w:hAnsi="Times New Roman"/>
                <w:sz w:val="16"/>
                <w:szCs w:val="16"/>
              </w:rPr>
            </w:pPr>
            <w:r>
              <w:rPr>
                <w:rFonts w:ascii="Times New Roman" w:hAnsi="Times New Roman"/>
                <w:sz w:val="16"/>
                <w:szCs w:val="16"/>
              </w:rPr>
              <w:t>29.97</w:t>
            </w:r>
          </w:p>
        </w:tc>
      </w:tr>
      <w:tr w:rsidR="00097C63" w14:paraId="37B8CC07" w14:textId="77777777">
        <w:trPr>
          <w:gridAfter w:val="1"/>
          <w:wAfter w:w="7" w:type="pct"/>
          <w:trHeight w:val="57"/>
          <w:jc w:val="center"/>
        </w:trPr>
        <w:tc>
          <w:tcPr>
            <w:tcW w:w="860" w:type="pct"/>
            <w:tcBorders>
              <w:right w:val="nil"/>
            </w:tcBorders>
          </w:tcPr>
          <w:p w14:paraId="56530578" w14:textId="77777777" w:rsidR="00097C63" w:rsidRDefault="00FB6D14">
            <w:pPr>
              <w:jc w:val="center"/>
              <w:rPr>
                <w:rFonts w:ascii="Times New Roman" w:hAnsi="Times New Roman"/>
                <w:sz w:val="16"/>
                <w:szCs w:val="16"/>
              </w:rPr>
            </w:pPr>
            <w:r>
              <w:rPr>
                <w:rFonts w:ascii="Times New Roman" w:hAnsi="Times New Roman"/>
                <w:sz w:val="16"/>
                <w:szCs w:val="16"/>
              </w:rPr>
              <w:t>0.8</w:t>
            </w:r>
          </w:p>
        </w:tc>
        <w:tc>
          <w:tcPr>
            <w:tcW w:w="479" w:type="pct"/>
            <w:tcBorders>
              <w:left w:val="nil"/>
              <w:right w:val="nil"/>
            </w:tcBorders>
            <w:vAlign w:val="center"/>
          </w:tcPr>
          <w:p w14:paraId="4A05A54F" w14:textId="77777777" w:rsidR="00097C63" w:rsidRDefault="00FB6D14">
            <w:pPr>
              <w:jc w:val="center"/>
              <w:rPr>
                <w:rFonts w:ascii="Times New Roman" w:hAnsi="Times New Roman"/>
                <w:sz w:val="16"/>
                <w:szCs w:val="16"/>
              </w:rPr>
            </w:pPr>
            <w:r>
              <w:rPr>
                <w:rFonts w:ascii="Times New Roman" w:hAnsi="Times New Roman"/>
                <w:sz w:val="16"/>
                <w:szCs w:val="16"/>
              </w:rPr>
              <w:t>19.84</w:t>
            </w:r>
          </w:p>
        </w:tc>
        <w:tc>
          <w:tcPr>
            <w:tcW w:w="484" w:type="pct"/>
            <w:gridSpan w:val="2"/>
            <w:tcBorders>
              <w:left w:val="nil"/>
              <w:right w:val="nil"/>
            </w:tcBorders>
            <w:vAlign w:val="center"/>
          </w:tcPr>
          <w:p w14:paraId="55A3A3EF" w14:textId="77777777" w:rsidR="00097C63" w:rsidRDefault="00FB6D14">
            <w:pPr>
              <w:jc w:val="center"/>
              <w:rPr>
                <w:rFonts w:ascii="Times New Roman" w:hAnsi="Times New Roman"/>
                <w:sz w:val="16"/>
                <w:szCs w:val="16"/>
              </w:rPr>
            </w:pPr>
            <w:r>
              <w:rPr>
                <w:rFonts w:ascii="Times New Roman" w:hAnsi="Times New Roman"/>
                <w:sz w:val="16"/>
                <w:szCs w:val="16"/>
              </w:rPr>
              <w:t>4.23</w:t>
            </w:r>
          </w:p>
        </w:tc>
        <w:tc>
          <w:tcPr>
            <w:tcW w:w="486" w:type="pct"/>
            <w:tcBorders>
              <w:left w:val="nil"/>
              <w:right w:val="nil"/>
            </w:tcBorders>
            <w:vAlign w:val="center"/>
          </w:tcPr>
          <w:p w14:paraId="01D4F8AC" w14:textId="77777777" w:rsidR="00097C63" w:rsidRDefault="00FB6D14">
            <w:pPr>
              <w:jc w:val="center"/>
              <w:rPr>
                <w:rFonts w:ascii="Times New Roman" w:hAnsi="Times New Roman"/>
                <w:sz w:val="16"/>
                <w:szCs w:val="16"/>
              </w:rPr>
            </w:pPr>
            <w:r>
              <w:rPr>
                <w:rFonts w:ascii="Times New Roman" w:hAnsi="Times New Roman"/>
                <w:sz w:val="16"/>
                <w:szCs w:val="16"/>
              </w:rPr>
              <w:t>38.20</w:t>
            </w:r>
          </w:p>
        </w:tc>
        <w:tc>
          <w:tcPr>
            <w:tcW w:w="485" w:type="pct"/>
            <w:tcBorders>
              <w:left w:val="nil"/>
              <w:right w:val="nil"/>
            </w:tcBorders>
            <w:vAlign w:val="center"/>
          </w:tcPr>
          <w:p w14:paraId="625480BA" w14:textId="77777777" w:rsidR="00097C63" w:rsidRDefault="00FB6D14">
            <w:pPr>
              <w:jc w:val="center"/>
              <w:rPr>
                <w:rFonts w:ascii="Times New Roman" w:hAnsi="Times New Roman"/>
                <w:sz w:val="16"/>
                <w:szCs w:val="16"/>
              </w:rPr>
            </w:pPr>
            <w:r>
              <w:rPr>
                <w:rFonts w:ascii="Times New Roman" w:hAnsi="Times New Roman"/>
                <w:sz w:val="16"/>
                <w:szCs w:val="16"/>
              </w:rPr>
              <w:t>19.36</w:t>
            </w:r>
          </w:p>
        </w:tc>
        <w:tc>
          <w:tcPr>
            <w:tcW w:w="485" w:type="pct"/>
            <w:tcBorders>
              <w:left w:val="nil"/>
              <w:right w:val="nil"/>
            </w:tcBorders>
            <w:vAlign w:val="center"/>
          </w:tcPr>
          <w:p w14:paraId="5EDB39C9" w14:textId="77777777" w:rsidR="00097C63" w:rsidRDefault="00FB6D14">
            <w:pPr>
              <w:jc w:val="center"/>
              <w:rPr>
                <w:rFonts w:ascii="Times New Roman" w:hAnsi="Times New Roman"/>
                <w:sz w:val="16"/>
                <w:szCs w:val="16"/>
              </w:rPr>
            </w:pPr>
            <w:r>
              <w:rPr>
                <w:rFonts w:ascii="Times New Roman" w:hAnsi="Times New Roman"/>
                <w:sz w:val="16"/>
                <w:szCs w:val="16"/>
              </w:rPr>
              <w:t>4.05</w:t>
            </w:r>
          </w:p>
        </w:tc>
        <w:tc>
          <w:tcPr>
            <w:tcW w:w="485" w:type="pct"/>
            <w:gridSpan w:val="2"/>
            <w:tcBorders>
              <w:left w:val="nil"/>
              <w:right w:val="nil"/>
            </w:tcBorders>
            <w:vAlign w:val="center"/>
          </w:tcPr>
          <w:p w14:paraId="1B44B92D" w14:textId="77777777" w:rsidR="00097C63" w:rsidRDefault="00FB6D14">
            <w:pPr>
              <w:jc w:val="center"/>
              <w:rPr>
                <w:rFonts w:ascii="Times New Roman" w:hAnsi="Times New Roman"/>
                <w:sz w:val="16"/>
                <w:szCs w:val="16"/>
              </w:rPr>
            </w:pPr>
            <w:r>
              <w:rPr>
                <w:rFonts w:ascii="Times New Roman" w:hAnsi="Times New Roman"/>
                <w:sz w:val="16"/>
                <w:szCs w:val="16"/>
              </w:rPr>
              <w:t>38.01</w:t>
            </w:r>
          </w:p>
        </w:tc>
        <w:tc>
          <w:tcPr>
            <w:tcW w:w="483" w:type="pct"/>
            <w:tcBorders>
              <w:left w:val="nil"/>
              <w:right w:val="nil"/>
            </w:tcBorders>
            <w:vAlign w:val="center"/>
          </w:tcPr>
          <w:p w14:paraId="3680AF11" w14:textId="77777777" w:rsidR="00097C63" w:rsidRDefault="00FB6D14">
            <w:pPr>
              <w:jc w:val="center"/>
              <w:rPr>
                <w:rFonts w:ascii="Times New Roman" w:hAnsi="Times New Roman"/>
                <w:sz w:val="16"/>
                <w:szCs w:val="16"/>
              </w:rPr>
            </w:pPr>
            <w:r>
              <w:rPr>
                <w:rFonts w:ascii="Times New Roman" w:hAnsi="Times New Roman"/>
                <w:sz w:val="16"/>
                <w:szCs w:val="16"/>
              </w:rPr>
              <w:t>11.56</w:t>
            </w:r>
          </w:p>
        </w:tc>
        <w:tc>
          <w:tcPr>
            <w:tcW w:w="419" w:type="pct"/>
            <w:tcBorders>
              <w:left w:val="nil"/>
              <w:right w:val="nil"/>
            </w:tcBorders>
            <w:vAlign w:val="center"/>
          </w:tcPr>
          <w:p w14:paraId="01C8F01A" w14:textId="77777777" w:rsidR="00097C63" w:rsidRDefault="00FB6D14">
            <w:pPr>
              <w:jc w:val="center"/>
              <w:rPr>
                <w:rFonts w:ascii="Times New Roman" w:hAnsi="Times New Roman"/>
                <w:sz w:val="16"/>
                <w:szCs w:val="16"/>
              </w:rPr>
            </w:pPr>
            <w:r>
              <w:rPr>
                <w:rFonts w:ascii="Times New Roman" w:hAnsi="Times New Roman"/>
                <w:sz w:val="16"/>
                <w:szCs w:val="16"/>
              </w:rPr>
              <w:t>11.56</w:t>
            </w:r>
          </w:p>
        </w:tc>
        <w:tc>
          <w:tcPr>
            <w:tcW w:w="326" w:type="pct"/>
            <w:tcBorders>
              <w:left w:val="nil"/>
            </w:tcBorders>
            <w:vAlign w:val="center"/>
          </w:tcPr>
          <w:p w14:paraId="14AFCF85" w14:textId="77777777" w:rsidR="00097C63" w:rsidRDefault="00FB6D14">
            <w:pPr>
              <w:jc w:val="center"/>
              <w:rPr>
                <w:rFonts w:ascii="Times New Roman" w:hAnsi="Times New Roman"/>
                <w:sz w:val="16"/>
                <w:szCs w:val="16"/>
              </w:rPr>
            </w:pPr>
            <w:r>
              <w:rPr>
                <w:rFonts w:ascii="Times New Roman" w:hAnsi="Times New Roman"/>
                <w:sz w:val="16"/>
                <w:szCs w:val="16"/>
              </w:rPr>
              <w:t>27.87</w:t>
            </w:r>
          </w:p>
        </w:tc>
      </w:tr>
      <w:tr w:rsidR="00097C63" w14:paraId="63A14B97" w14:textId="77777777">
        <w:trPr>
          <w:gridAfter w:val="1"/>
          <w:wAfter w:w="7" w:type="pct"/>
          <w:jc w:val="center"/>
        </w:trPr>
        <w:tc>
          <w:tcPr>
            <w:tcW w:w="860" w:type="pct"/>
            <w:tcBorders>
              <w:right w:val="nil"/>
            </w:tcBorders>
          </w:tcPr>
          <w:p w14:paraId="4778078D" w14:textId="77777777" w:rsidR="00097C63" w:rsidRDefault="00FB6D14">
            <w:pPr>
              <w:jc w:val="center"/>
              <w:rPr>
                <w:rFonts w:ascii="Times New Roman" w:hAnsi="Times New Roman"/>
                <w:sz w:val="16"/>
                <w:szCs w:val="16"/>
              </w:rPr>
            </w:pPr>
            <w:r>
              <w:rPr>
                <w:rFonts w:ascii="Times New Roman" w:hAnsi="Times New Roman"/>
                <w:sz w:val="16"/>
                <w:szCs w:val="16"/>
              </w:rPr>
              <w:t>0.9</w:t>
            </w:r>
          </w:p>
        </w:tc>
        <w:tc>
          <w:tcPr>
            <w:tcW w:w="479" w:type="pct"/>
            <w:tcBorders>
              <w:left w:val="nil"/>
              <w:right w:val="nil"/>
            </w:tcBorders>
            <w:vAlign w:val="center"/>
          </w:tcPr>
          <w:p w14:paraId="62C69259" w14:textId="77777777" w:rsidR="00097C63" w:rsidRDefault="00FB6D14">
            <w:pPr>
              <w:jc w:val="center"/>
              <w:rPr>
                <w:rFonts w:ascii="Times New Roman" w:hAnsi="Times New Roman"/>
                <w:sz w:val="16"/>
                <w:szCs w:val="16"/>
              </w:rPr>
            </w:pPr>
            <w:r>
              <w:rPr>
                <w:rFonts w:ascii="Times New Roman" w:hAnsi="Times New Roman"/>
                <w:sz w:val="16"/>
                <w:szCs w:val="16"/>
              </w:rPr>
              <w:t>23.02</w:t>
            </w:r>
          </w:p>
        </w:tc>
        <w:tc>
          <w:tcPr>
            <w:tcW w:w="484" w:type="pct"/>
            <w:gridSpan w:val="2"/>
            <w:tcBorders>
              <w:left w:val="nil"/>
              <w:right w:val="nil"/>
            </w:tcBorders>
            <w:vAlign w:val="center"/>
          </w:tcPr>
          <w:p w14:paraId="76E95046" w14:textId="77777777" w:rsidR="00097C63" w:rsidRDefault="00FB6D14">
            <w:pPr>
              <w:jc w:val="center"/>
              <w:rPr>
                <w:rFonts w:ascii="Times New Roman" w:hAnsi="Times New Roman"/>
                <w:sz w:val="16"/>
                <w:szCs w:val="16"/>
              </w:rPr>
            </w:pPr>
            <w:r>
              <w:rPr>
                <w:rFonts w:ascii="Times New Roman" w:hAnsi="Times New Roman"/>
                <w:sz w:val="16"/>
                <w:szCs w:val="16"/>
              </w:rPr>
              <w:t>3.88</w:t>
            </w:r>
          </w:p>
        </w:tc>
        <w:tc>
          <w:tcPr>
            <w:tcW w:w="486" w:type="pct"/>
            <w:tcBorders>
              <w:left w:val="nil"/>
              <w:right w:val="nil"/>
            </w:tcBorders>
            <w:vAlign w:val="center"/>
          </w:tcPr>
          <w:p w14:paraId="6FB97581" w14:textId="77777777" w:rsidR="00097C63" w:rsidRDefault="00FB6D14">
            <w:pPr>
              <w:jc w:val="center"/>
              <w:rPr>
                <w:rFonts w:ascii="Times New Roman" w:hAnsi="Times New Roman"/>
                <w:sz w:val="16"/>
                <w:szCs w:val="16"/>
              </w:rPr>
            </w:pPr>
            <w:r>
              <w:rPr>
                <w:rFonts w:ascii="Times New Roman" w:hAnsi="Times New Roman"/>
                <w:sz w:val="16"/>
                <w:szCs w:val="16"/>
              </w:rPr>
              <w:t>35.31</w:t>
            </w:r>
          </w:p>
        </w:tc>
        <w:tc>
          <w:tcPr>
            <w:tcW w:w="485" w:type="pct"/>
            <w:tcBorders>
              <w:left w:val="nil"/>
              <w:right w:val="nil"/>
            </w:tcBorders>
            <w:vAlign w:val="center"/>
          </w:tcPr>
          <w:p w14:paraId="38DDBB3E" w14:textId="77777777" w:rsidR="00097C63" w:rsidRDefault="00FB6D14">
            <w:pPr>
              <w:jc w:val="center"/>
              <w:rPr>
                <w:rFonts w:ascii="Times New Roman" w:hAnsi="Times New Roman"/>
                <w:sz w:val="16"/>
                <w:szCs w:val="16"/>
              </w:rPr>
            </w:pPr>
            <w:r>
              <w:rPr>
                <w:rFonts w:ascii="Times New Roman" w:hAnsi="Times New Roman"/>
                <w:sz w:val="16"/>
                <w:szCs w:val="16"/>
              </w:rPr>
              <w:t>22.18</w:t>
            </w:r>
          </w:p>
        </w:tc>
        <w:tc>
          <w:tcPr>
            <w:tcW w:w="485" w:type="pct"/>
            <w:tcBorders>
              <w:left w:val="nil"/>
              <w:right w:val="nil"/>
            </w:tcBorders>
            <w:vAlign w:val="center"/>
          </w:tcPr>
          <w:p w14:paraId="2D650A39" w14:textId="77777777" w:rsidR="00097C63" w:rsidRDefault="00FB6D14">
            <w:pPr>
              <w:jc w:val="center"/>
              <w:rPr>
                <w:rFonts w:ascii="Times New Roman" w:hAnsi="Times New Roman"/>
                <w:sz w:val="16"/>
                <w:szCs w:val="16"/>
              </w:rPr>
            </w:pPr>
            <w:r>
              <w:rPr>
                <w:rFonts w:ascii="Times New Roman" w:hAnsi="Times New Roman"/>
                <w:sz w:val="16"/>
                <w:szCs w:val="16"/>
              </w:rPr>
              <w:t>3.84</w:t>
            </w:r>
          </w:p>
        </w:tc>
        <w:tc>
          <w:tcPr>
            <w:tcW w:w="485" w:type="pct"/>
            <w:gridSpan w:val="2"/>
            <w:tcBorders>
              <w:left w:val="nil"/>
              <w:right w:val="nil"/>
            </w:tcBorders>
            <w:vAlign w:val="center"/>
          </w:tcPr>
          <w:p w14:paraId="1845F83D" w14:textId="77777777" w:rsidR="00097C63" w:rsidRDefault="00FB6D14">
            <w:pPr>
              <w:jc w:val="center"/>
              <w:rPr>
                <w:rFonts w:ascii="Times New Roman" w:hAnsi="Times New Roman"/>
                <w:sz w:val="16"/>
                <w:szCs w:val="16"/>
              </w:rPr>
            </w:pPr>
            <w:r>
              <w:rPr>
                <w:rFonts w:ascii="Times New Roman" w:hAnsi="Times New Roman"/>
                <w:sz w:val="16"/>
                <w:szCs w:val="16"/>
              </w:rPr>
              <w:t>37.04</w:t>
            </w:r>
          </w:p>
        </w:tc>
        <w:tc>
          <w:tcPr>
            <w:tcW w:w="483" w:type="pct"/>
            <w:tcBorders>
              <w:left w:val="nil"/>
              <w:right w:val="nil"/>
            </w:tcBorders>
            <w:vAlign w:val="center"/>
          </w:tcPr>
          <w:p w14:paraId="4F50F33B" w14:textId="77777777" w:rsidR="00097C63" w:rsidRDefault="00FB6D14">
            <w:pPr>
              <w:jc w:val="center"/>
              <w:rPr>
                <w:rFonts w:ascii="Times New Roman" w:hAnsi="Times New Roman"/>
                <w:sz w:val="16"/>
                <w:szCs w:val="16"/>
              </w:rPr>
            </w:pPr>
            <w:r>
              <w:rPr>
                <w:rFonts w:ascii="Times New Roman" w:hAnsi="Times New Roman"/>
                <w:sz w:val="16"/>
                <w:szCs w:val="16"/>
              </w:rPr>
              <w:t>10.52</w:t>
            </w:r>
          </w:p>
        </w:tc>
        <w:tc>
          <w:tcPr>
            <w:tcW w:w="419" w:type="pct"/>
            <w:tcBorders>
              <w:left w:val="nil"/>
              <w:right w:val="nil"/>
            </w:tcBorders>
            <w:vAlign w:val="center"/>
          </w:tcPr>
          <w:p w14:paraId="6F900BAD" w14:textId="77777777" w:rsidR="00097C63" w:rsidRDefault="00FB6D14">
            <w:pPr>
              <w:jc w:val="center"/>
              <w:rPr>
                <w:rFonts w:ascii="Times New Roman" w:hAnsi="Times New Roman"/>
                <w:sz w:val="16"/>
                <w:szCs w:val="16"/>
              </w:rPr>
            </w:pPr>
            <w:r>
              <w:rPr>
                <w:rFonts w:ascii="Times New Roman" w:hAnsi="Times New Roman"/>
                <w:sz w:val="16"/>
                <w:szCs w:val="16"/>
              </w:rPr>
              <w:t>10.52</w:t>
            </w:r>
          </w:p>
        </w:tc>
        <w:tc>
          <w:tcPr>
            <w:tcW w:w="326" w:type="pct"/>
            <w:tcBorders>
              <w:left w:val="nil"/>
            </w:tcBorders>
            <w:vAlign w:val="center"/>
          </w:tcPr>
          <w:p w14:paraId="041CE59C" w14:textId="77777777" w:rsidR="00097C63" w:rsidRDefault="00FB6D14">
            <w:pPr>
              <w:jc w:val="center"/>
              <w:rPr>
                <w:rFonts w:ascii="Times New Roman" w:hAnsi="Times New Roman"/>
                <w:sz w:val="16"/>
                <w:szCs w:val="16"/>
              </w:rPr>
            </w:pPr>
            <w:r>
              <w:rPr>
                <w:rFonts w:ascii="Times New Roman" w:hAnsi="Times New Roman"/>
                <w:sz w:val="16"/>
                <w:szCs w:val="16"/>
              </w:rPr>
              <w:t>26.38</w:t>
            </w:r>
          </w:p>
        </w:tc>
      </w:tr>
      <w:tr w:rsidR="00097C63" w14:paraId="5C6C7A8D" w14:textId="77777777">
        <w:trPr>
          <w:gridAfter w:val="1"/>
          <w:wAfter w:w="7" w:type="pct"/>
          <w:jc w:val="center"/>
        </w:trPr>
        <w:tc>
          <w:tcPr>
            <w:tcW w:w="860" w:type="pct"/>
            <w:tcBorders>
              <w:bottom w:val="single" w:sz="4" w:space="0" w:color="auto"/>
              <w:right w:val="nil"/>
            </w:tcBorders>
          </w:tcPr>
          <w:p w14:paraId="3DDDC95B" w14:textId="77777777" w:rsidR="00097C63" w:rsidRDefault="00FB6D14">
            <w:pPr>
              <w:jc w:val="center"/>
              <w:rPr>
                <w:rFonts w:ascii="Times New Roman" w:hAnsi="Times New Roman"/>
                <w:sz w:val="16"/>
                <w:szCs w:val="16"/>
              </w:rPr>
            </w:pPr>
            <w:r>
              <w:rPr>
                <w:rFonts w:ascii="Times New Roman" w:hAnsi="Times New Roman"/>
                <w:sz w:val="16"/>
                <w:szCs w:val="16"/>
              </w:rPr>
              <w:t>1.0</w:t>
            </w:r>
          </w:p>
        </w:tc>
        <w:tc>
          <w:tcPr>
            <w:tcW w:w="479" w:type="pct"/>
            <w:tcBorders>
              <w:left w:val="nil"/>
              <w:bottom w:val="single" w:sz="4" w:space="0" w:color="auto"/>
              <w:right w:val="nil"/>
            </w:tcBorders>
            <w:vAlign w:val="center"/>
          </w:tcPr>
          <w:p w14:paraId="00827850" w14:textId="77777777" w:rsidR="00097C63" w:rsidRDefault="00FB6D14">
            <w:pPr>
              <w:jc w:val="center"/>
              <w:rPr>
                <w:rFonts w:ascii="Times New Roman" w:hAnsi="Times New Roman"/>
                <w:sz w:val="16"/>
                <w:szCs w:val="16"/>
              </w:rPr>
            </w:pPr>
            <w:r>
              <w:rPr>
                <w:rFonts w:ascii="Times New Roman" w:hAnsi="Times New Roman"/>
                <w:sz w:val="16"/>
                <w:szCs w:val="16"/>
              </w:rPr>
              <w:t>26.64</w:t>
            </w:r>
          </w:p>
        </w:tc>
        <w:tc>
          <w:tcPr>
            <w:tcW w:w="484" w:type="pct"/>
            <w:gridSpan w:val="2"/>
            <w:tcBorders>
              <w:left w:val="nil"/>
              <w:bottom w:val="single" w:sz="4" w:space="0" w:color="auto"/>
              <w:right w:val="nil"/>
            </w:tcBorders>
            <w:vAlign w:val="center"/>
          </w:tcPr>
          <w:p w14:paraId="284E36C8" w14:textId="77777777" w:rsidR="00097C63" w:rsidRDefault="00FB6D14">
            <w:pPr>
              <w:jc w:val="center"/>
              <w:rPr>
                <w:rFonts w:ascii="Times New Roman" w:hAnsi="Times New Roman"/>
                <w:sz w:val="16"/>
                <w:szCs w:val="16"/>
              </w:rPr>
            </w:pPr>
            <w:r>
              <w:rPr>
                <w:rFonts w:ascii="Times New Roman" w:hAnsi="Times New Roman"/>
                <w:sz w:val="16"/>
                <w:szCs w:val="16"/>
              </w:rPr>
              <w:t>1.60</w:t>
            </w:r>
          </w:p>
        </w:tc>
        <w:tc>
          <w:tcPr>
            <w:tcW w:w="486" w:type="pct"/>
            <w:tcBorders>
              <w:left w:val="nil"/>
              <w:bottom w:val="single" w:sz="4" w:space="0" w:color="auto"/>
              <w:right w:val="nil"/>
            </w:tcBorders>
            <w:vAlign w:val="center"/>
          </w:tcPr>
          <w:p w14:paraId="5B986674" w14:textId="77777777" w:rsidR="00097C63" w:rsidRDefault="00FB6D14">
            <w:pPr>
              <w:jc w:val="center"/>
              <w:rPr>
                <w:rFonts w:ascii="Times New Roman" w:hAnsi="Times New Roman"/>
                <w:sz w:val="16"/>
                <w:szCs w:val="16"/>
              </w:rPr>
            </w:pPr>
            <w:r>
              <w:rPr>
                <w:rFonts w:ascii="Times New Roman" w:hAnsi="Times New Roman"/>
                <w:sz w:val="16"/>
                <w:szCs w:val="16"/>
              </w:rPr>
              <w:t>13.35</w:t>
            </w:r>
          </w:p>
        </w:tc>
        <w:tc>
          <w:tcPr>
            <w:tcW w:w="485" w:type="pct"/>
            <w:tcBorders>
              <w:left w:val="nil"/>
              <w:bottom w:val="single" w:sz="4" w:space="0" w:color="auto"/>
              <w:right w:val="nil"/>
            </w:tcBorders>
            <w:vAlign w:val="center"/>
          </w:tcPr>
          <w:p w14:paraId="009F66A5" w14:textId="77777777" w:rsidR="00097C63" w:rsidRDefault="00FB6D14">
            <w:pPr>
              <w:jc w:val="center"/>
              <w:rPr>
                <w:rFonts w:ascii="Times New Roman" w:hAnsi="Times New Roman"/>
                <w:sz w:val="16"/>
                <w:szCs w:val="16"/>
              </w:rPr>
            </w:pPr>
            <w:r>
              <w:rPr>
                <w:rFonts w:ascii="Times New Roman" w:hAnsi="Times New Roman"/>
                <w:sz w:val="16"/>
                <w:szCs w:val="16"/>
              </w:rPr>
              <w:t>25.29</w:t>
            </w:r>
          </w:p>
        </w:tc>
        <w:tc>
          <w:tcPr>
            <w:tcW w:w="485" w:type="pct"/>
            <w:tcBorders>
              <w:left w:val="nil"/>
              <w:bottom w:val="single" w:sz="4" w:space="0" w:color="auto"/>
              <w:right w:val="nil"/>
            </w:tcBorders>
            <w:vAlign w:val="center"/>
          </w:tcPr>
          <w:p w14:paraId="7E317259" w14:textId="77777777" w:rsidR="00097C63" w:rsidRDefault="00FB6D14">
            <w:pPr>
              <w:jc w:val="center"/>
              <w:rPr>
                <w:rFonts w:ascii="Times New Roman" w:hAnsi="Times New Roman"/>
                <w:sz w:val="16"/>
                <w:szCs w:val="16"/>
              </w:rPr>
            </w:pPr>
            <w:r>
              <w:rPr>
                <w:rFonts w:ascii="Times New Roman" w:hAnsi="Times New Roman"/>
                <w:sz w:val="16"/>
                <w:szCs w:val="16"/>
              </w:rPr>
              <w:t>3.45</w:t>
            </w:r>
          </w:p>
        </w:tc>
        <w:tc>
          <w:tcPr>
            <w:tcW w:w="485" w:type="pct"/>
            <w:gridSpan w:val="2"/>
            <w:tcBorders>
              <w:left w:val="nil"/>
              <w:bottom w:val="single" w:sz="4" w:space="0" w:color="auto"/>
              <w:right w:val="nil"/>
            </w:tcBorders>
            <w:vAlign w:val="center"/>
          </w:tcPr>
          <w:p w14:paraId="49FCB931" w14:textId="77777777" w:rsidR="00097C63" w:rsidRDefault="00FB6D14">
            <w:pPr>
              <w:jc w:val="center"/>
              <w:rPr>
                <w:rFonts w:ascii="Times New Roman" w:hAnsi="Times New Roman"/>
                <w:sz w:val="16"/>
                <w:szCs w:val="16"/>
              </w:rPr>
            </w:pPr>
            <w:r>
              <w:rPr>
                <w:rFonts w:ascii="Times New Roman" w:hAnsi="Times New Roman"/>
                <w:sz w:val="16"/>
                <w:szCs w:val="16"/>
              </w:rPr>
              <w:t>36.72</w:t>
            </w:r>
          </w:p>
        </w:tc>
        <w:tc>
          <w:tcPr>
            <w:tcW w:w="483" w:type="pct"/>
            <w:tcBorders>
              <w:left w:val="nil"/>
              <w:bottom w:val="single" w:sz="4" w:space="0" w:color="auto"/>
              <w:right w:val="nil"/>
            </w:tcBorders>
            <w:vAlign w:val="center"/>
          </w:tcPr>
          <w:p w14:paraId="7F5971BA" w14:textId="77777777" w:rsidR="00097C63" w:rsidRDefault="00FB6D14">
            <w:pPr>
              <w:jc w:val="center"/>
              <w:rPr>
                <w:rFonts w:ascii="Times New Roman" w:hAnsi="Times New Roman"/>
                <w:sz w:val="16"/>
                <w:szCs w:val="16"/>
              </w:rPr>
            </w:pPr>
            <w:r>
              <w:rPr>
                <w:rFonts w:ascii="Times New Roman" w:hAnsi="Times New Roman"/>
                <w:sz w:val="16"/>
                <w:szCs w:val="16"/>
              </w:rPr>
              <w:t>10.10</w:t>
            </w:r>
          </w:p>
        </w:tc>
        <w:tc>
          <w:tcPr>
            <w:tcW w:w="419" w:type="pct"/>
            <w:tcBorders>
              <w:left w:val="nil"/>
              <w:bottom w:val="single" w:sz="4" w:space="0" w:color="auto"/>
              <w:right w:val="nil"/>
            </w:tcBorders>
            <w:vAlign w:val="center"/>
          </w:tcPr>
          <w:p w14:paraId="256CE01D" w14:textId="77777777" w:rsidR="00097C63" w:rsidRDefault="00FB6D14">
            <w:pPr>
              <w:jc w:val="center"/>
              <w:rPr>
                <w:rFonts w:ascii="Times New Roman" w:hAnsi="Times New Roman"/>
                <w:sz w:val="16"/>
                <w:szCs w:val="16"/>
              </w:rPr>
            </w:pPr>
            <w:r>
              <w:rPr>
                <w:rFonts w:ascii="Times New Roman" w:hAnsi="Times New Roman"/>
                <w:sz w:val="16"/>
                <w:szCs w:val="16"/>
              </w:rPr>
              <w:t>10.10</w:t>
            </w:r>
          </w:p>
        </w:tc>
        <w:tc>
          <w:tcPr>
            <w:tcW w:w="326" w:type="pct"/>
            <w:tcBorders>
              <w:left w:val="nil"/>
              <w:bottom w:val="single" w:sz="4" w:space="0" w:color="auto"/>
            </w:tcBorders>
            <w:vAlign w:val="center"/>
          </w:tcPr>
          <w:p w14:paraId="5CDE6F9B" w14:textId="77777777" w:rsidR="00097C63" w:rsidRDefault="00FB6D14">
            <w:pPr>
              <w:jc w:val="center"/>
              <w:rPr>
                <w:rFonts w:ascii="Times New Roman" w:hAnsi="Times New Roman"/>
                <w:sz w:val="16"/>
                <w:szCs w:val="16"/>
              </w:rPr>
            </w:pPr>
            <w:r>
              <w:rPr>
                <w:rFonts w:ascii="Times New Roman" w:hAnsi="Times New Roman"/>
                <w:sz w:val="16"/>
                <w:szCs w:val="16"/>
              </w:rPr>
              <w:t>27.89</w:t>
            </w:r>
          </w:p>
        </w:tc>
      </w:tr>
      <w:tr w:rsidR="00097C63" w14:paraId="0AC10C1B" w14:textId="77777777">
        <w:trPr>
          <w:gridAfter w:val="1"/>
          <w:wAfter w:w="7" w:type="pct"/>
          <w:jc w:val="center"/>
        </w:trPr>
        <w:tc>
          <w:tcPr>
            <w:tcW w:w="860" w:type="pct"/>
            <w:tcBorders>
              <w:top w:val="single" w:sz="4" w:space="0" w:color="auto"/>
              <w:right w:val="nil"/>
            </w:tcBorders>
          </w:tcPr>
          <w:p w14:paraId="48A66CFB" w14:textId="77777777" w:rsidR="00097C63" w:rsidRDefault="00FB6D14">
            <w:pPr>
              <w:jc w:val="center"/>
              <w:rPr>
                <w:rFonts w:ascii="Times New Roman" w:hAnsi="Times New Roman"/>
                <w:sz w:val="16"/>
                <w:szCs w:val="16"/>
              </w:rPr>
            </w:pPr>
            <m:oMathPara>
              <m:oMath>
                <m:r>
                  <w:rPr>
                    <w:rFonts w:ascii="Cambria Math" w:hAnsi="Cambria Math"/>
                    <w:sz w:val="16"/>
                    <w:szCs w:val="16"/>
                  </w:rPr>
                  <m:t>u=1.6</m:t>
                </m:r>
              </m:oMath>
            </m:oMathPara>
          </w:p>
        </w:tc>
        <w:tc>
          <w:tcPr>
            <w:tcW w:w="1450" w:type="pct"/>
            <w:gridSpan w:val="4"/>
            <w:tcBorders>
              <w:top w:val="single" w:sz="4" w:space="0" w:color="auto"/>
              <w:left w:val="nil"/>
              <w:right w:val="nil"/>
            </w:tcBorders>
          </w:tcPr>
          <w:p w14:paraId="33AFB965" w14:textId="77777777" w:rsidR="00097C63" w:rsidRDefault="00FB6D14">
            <w:pPr>
              <w:jc w:val="center"/>
              <w:rPr>
                <w:rFonts w:ascii="Times New Roman" w:hAnsi="Times New Roman"/>
                <w:sz w:val="16"/>
                <w:szCs w:val="16"/>
              </w:rPr>
            </w:pPr>
            <w:r>
              <w:rPr>
                <w:rFonts w:ascii="Times New Roman" w:hAnsi="Times New Roman"/>
                <w:sz w:val="16"/>
                <w:szCs w:val="16"/>
              </w:rPr>
              <w:t>PWS</w:t>
            </w:r>
          </w:p>
        </w:tc>
        <w:tc>
          <w:tcPr>
            <w:tcW w:w="1456" w:type="pct"/>
            <w:gridSpan w:val="4"/>
            <w:tcBorders>
              <w:top w:val="single" w:sz="4" w:space="0" w:color="auto"/>
              <w:left w:val="nil"/>
              <w:right w:val="nil"/>
            </w:tcBorders>
          </w:tcPr>
          <w:p w14:paraId="776813DB" w14:textId="77777777" w:rsidR="00097C63" w:rsidRDefault="00FB6D14">
            <w:pPr>
              <w:jc w:val="center"/>
              <w:rPr>
                <w:rFonts w:ascii="Times New Roman" w:hAnsi="Times New Roman"/>
                <w:sz w:val="16"/>
                <w:szCs w:val="16"/>
              </w:rPr>
            </w:pPr>
            <w:r>
              <w:rPr>
                <w:rFonts w:ascii="Times New Roman" w:hAnsi="Times New Roman"/>
                <w:sz w:val="16"/>
                <w:szCs w:val="16"/>
              </w:rPr>
              <w:t>Strategy A</w:t>
            </w:r>
          </w:p>
        </w:tc>
        <w:tc>
          <w:tcPr>
            <w:tcW w:w="1227" w:type="pct"/>
            <w:gridSpan w:val="3"/>
            <w:tcBorders>
              <w:top w:val="single" w:sz="4" w:space="0" w:color="auto"/>
              <w:left w:val="nil"/>
            </w:tcBorders>
          </w:tcPr>
          <w:p w14:paraId="6ECEB34A" w14:textId="77777777" w:rsidR="00097C63" w:rsidRDefault="00FB6D14">
            <w:pPr>
              <w:jc w:val="center"/>
              <w:rPr>
                <w:rFonts w:ascii="Times New Roman" w:hAnsi="Times New Roman"/>
                <w:sz w:val="16"/>
                <w:szCs w:val="16"/>
              </w:rPr>
            </w:pPr>
            <w:r>
              <w:rPr>
                <w:rFonts w:ascii="Times New Roman" w:hAnsi="Times New Roman"/>
                <w:sz w:val="16"/>
                <w:szCs w:val="16"/>
              </w:rPr>
              <w:t>Strategy B</w:t>
            </w:r>
          </w:p>
        </w:tc>
      </w:tr>
      <w:tr w:rsidR="00097C63" w14:paraId="193D579C" w14:textId="77777777">
        <w:trPr>
          <w:gridAfter w:val="1"/>
          <w:wAfter w:w="7" w:type="pct"/>
          <w:jc w:val="center"/>
        </w:trPr>
        <w:tc>
          <w:tcPr>
            <w:tcW w:w="860" w:type="pct"/>
            <w:tcBorders>
              <w:bottom w:val="single" w:sz="4" w:space="0" w:color="auto"/>
              <w:right w:val="nil"/>
            </w:tcBorders>
          </w:tcPr>
          <w:p w14:paraId="2AFA22C7" w14:textId="77777777" w:rsidR="00097C63" w:rsidRDefault="00FB6D14">
            <w:pPr>
              <w:jc w:val="center"/>
              <w:rPr>
                <w:rFonts w:ascii="Times New Roman" w:hAnsi="Times New Roman"/>
                <w:sz w:val="16"/>
                <w:szCs w:val="16"/>
              </w:rPr>
            </w:pPr>
            <m:oMathPara>
              <m:oMath>
                <m:r>
                  <w:rPr>
                    <w:rFonts w:ascii="Cambria Math" w:hAnsi="Cambria Math"/>
                    <w:sz w:val="16"/>
                    <w:szCs w:val="16"/>
                  </w:rPr>
                  <m:t>λ</m:t>
                </m:r>
              </m:oMath>
            </m:oMathPara>
          </w:p>
        </w:tc>
        <w:tc>
          <w:tcPr>
            <w:tcW w:w="479" w:type="pct"/>
            <w:tcBorders>
              <w:left w:val="nil"/>
              <w:bottom w:val="single" w:sz="4" w:space="0" w:color="auto"/>
              <w:right w:val="nil"/>
            </w:tcBorders>
          </w:tcPr>
          <w:p w14:paraId="59150442"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84" w:type="pct"/>
            <w:gridSpan w:val="2"/>
            <w:tcBorders>
              <w:left w:val="nil"/>
              <w:bottom w:val="single" w:sz="4" w:space="0" w:color="auto"/>
              <w:right w:val="nil"/>
            </w:tcBorders>
          </w:tcPr>
          <w:p w14:paraId="16513B42"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486" w:type="pct"/>
            <w:tcBorders>
              <w:left w:val="nil"/>
              <w:bottom w:val="single" w:sz="4" w:space="0" w:color="auto"/>
              <w:right w:val="nil"/>
            </w:tcBorders>
          </w:tcPr>
          <w:p w14:paraId="455B204D"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c>
          <w:tcPr>
            <w:tcW w:w="485" w:type="pct"/>
            <w:tcBorders>
              <w:left w:val="nil"/>
              <w:bottom w:val="single" w:sz="4" w:space="0" w:color="auto"/>
              <w:right w:val="nil"/>
            </w:tcBorders>
          </w:tcPr>
          <w:p w14:paraId="53F31532"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85" w:type="pct"/>
            <w:tcBorders>
              <w:left w:val="nil"/>
              <w:bottom w:val="single" w:sz="4" w:space="0" w:color="auto"/>
              <w:right w:val="nil"/>
            </w:tcBorders>
          </w:tcPr>
          <w:p w14:paraId="2F80F63B"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485" w:type="pct"/>
            <w:gridSpan w:val="2"/>
            <w:tcBorders>
              <w:left w:val="nil"/>
              <w:bottom w:val="single" w:sz="4" w:space="0" w:color="auto"/>
              <w:right w:val="nil"/>
            </w:tcBorders>
          </w:tcPr>
          <w:p w14:paraId="017311D3"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c>
          <w:tcPr>
            <w:tcW w:w="483" w:type="pct"/>
            <w:tcBorders>
              <w:left w:val="nil"/>
              <w:bottom w:val="single" w:sz="4" w:space="0" w:color="auto"/>
              <w:right w:val="nil"/>
            </w:tcBorders>
          </w:tcPr>
          <w:p w14:paraId="367F7DB5"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19" w:type="pct"/>
            <w:tcBorders>
              <w:left w:val="nil"/>
              <w:bottom w:val="single" w:sz="4" w:space="0" w:color="auto"/>
              <w:right w:val="nil"/>
            </w:tcBorders>
          </w:tcPr>
          <w:p w14:paraId="5406491E"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326" w:type="pct"/>
            <w:tcBorders>
              <w:left w:val="nil"/>
              <w:bottom w:val="single" w:sz="4" w:space="0" w:color="auto"/>
            </w:tcBorders>
          </w:tcPr>
          <w:p w14:paraId="102FEA54"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r>
      <w:tr w:rsidR="00097C63" w14:paraId="7E8D78F6" w14:textId="77777777">
        <w:trPr>
          <w:gridAfter w:val="1"/>
          <w:wAfter w:w="7" w:type="pct"/>
          <w:trHeight w:val="90"/>
          <w:jc w:val="center"/>
        </w:trPr>
        <w:tc>
          <w:tcPr>
            <w:tcW w:w="860" w:type="pct"/>
            <w:tcBorders>
              <w:top w:val="single" w:sz="4" w:space="0" w:color="auto"/>
              <w:right w:val="nil"/>
            </w:tcBorders>
          </w:tcPr>
          <w:p w14:paraId="6156ACE6" w14:textId="77777777" w:rsidR="00097C63" w:rsidRDefault="00FB6D14">
            <w:pPr>
              <w:jc w:val="center"/>
              <w:rPr>
                <w:rFonts w:ascii="Times New Roman" w:hAnsi="Times New Roman"/>
                <w:sz w:val="16"/>
                <w:szCs w:val="16"/>
              </w:rPr>
            </w:pPr>
            <w:r>
              <w:rPr>
                <w:rFonts w:ascii="Times New Roman" w:hAnsi="Times New Roman"/>
                <w:sz w:val="16"/>
                <w:szCs w:val="16"/>
              </w:rPr>
              <w:t>0.6</w:t>
            </w:r>
          </w:p>
        </w:tc>
        <w:tc>
          <w:tcPr>
            <w:tcW w:w="479" w:type="pct"/>
            <w:tcBorders>
              <w:top w:val="single" w:sz="4" w:space="0" w:color="auto"/>
              <w:left w:val="nil"/>
              <w:right w:val="nil"/>
            </w:tcBorders>
            <w:vAlign w:val="center"/>
          </w:tcPr>
          <w:p w14:paraId="5533DA5B" w14:textId="77777777" w:rsidR="00097C63" w:rsidRDefault="00FB6D14">
            <w:pPr>
              <w:jc w:val="center"/>
              <w:rPr>
                <w:rFonts w:ascii="Times New Roman" w:hAnsi="Times New Roman"/>
                <w:sz w:val="16"/>
                <w:szCs w:val="16"/>
              </w:rPr>
            </w:pPr>
            <w:r>
              <w:rPr>
                <w:rFonts w:ascii="Times New Roman" w:hAnsi="Times New Roman"/>
                <w:sz w:val="16"/>
                <w:szCs w:val="16"/>
              </w:rPr>
              <w:t>11.35</w:t>
            </w:r>
          </w:p>
        </w:tc>
        <w:tc>
          <w:tcPr>
            <w:tcW w:w="484" w:type="pct"/>
            <w:gridSpan w:val="2"/>
            <w:tcBorders>
              <w:top w:val="single" w:sz="4" w:space="0" w:color="auto"/>
              <w:left w:val="nil"/>
              <w:right w:val="nil"/>
            </w:tcBorders>
            <w:vAlign w:val="center"/>
          </w:tcPr>
          <w:p w14:paraId="414CB6FD" w14:textId="77777777" w:rsidR="00097C63" w:rsidRDefault="00FB6D14">
            <w:pPr>
              <w:jc w:val="center"/>
              <w:rPr>
                <w:rFonts w:ascii="Times New Roman" w:hAnsi="Times New Roman"/>
                <w:sz w:val="16"/>
                <w:szCs w:val="16"/>
              </w:rPr>
            </w:pPr>
            <w:r>
              <w:rPr>
                <w:rFonts w:ascii="Times New Roman" w:hAnsi="Times New Roman"/>
                <w:sz w:val="16"/>
                <w:szCs w:val="16"/>
              </w:rPr>
              <w:t>10.30</w:t>
            </w:r>
          </w:p>
        </w:tc>
        <w:tc>
          <w:tcPr>
            <w:tcW w:w="486" w:type="pct"/>
            <w:tcBorders>
              <w:top w:val="single" w:sz="4" w:space="0" w:color="auto"/>
              <w:left w:val="nil"/>
              <w:right w:val="nil"/>
            </w:tcBorders>
            <w:vAlign w:val="center"/>
          </w:tcPr>
          <w:p w14:paraId="3714F143" w14:textId="77777777" w:rsidR="00097C63" w:rsidRDefault="00FB6D14">
            <w:pPr>
              <w:jc w:val="center"/>
              <w:rPr>
                <w:rFonts w:ascii="Times New Roman" w:hAnsi="Times New Roman"/>
                <w:sz w:val="16"/>
                <w:szCs w:val="16"/>
              </w:rPr>
            </w:pPr>
            <w:r>
              <w:rPr>
                <w:rFonts w:ascii="Times New Roman" w:hAnsi="Times New Roman"/>
                <w:sz w:val="16"/>
                <w:szCs w:val="16"/>
              </w:rPr>
              <w:t>31.35</w:t>
            </w:r>
          </w:p>
        </w:tc>
        <w:tc>
          <w:tcPr>
            <w:tcW w:w="485" w:type="pct"/>
            <w:tcBorders>
              <w:top w:val="single" w:sz="4" w:space="0" w:color="auto"/>
              <w:left w:val="nil"/>
              <w:right w:val="nil"/>
            </w:tcBorders>
            <w:vAlign w:val="center"/>
          </w:tcPr>
          <w:p w14:paraId="397859A7" w14:textId="77777777" w:rsidR="00097C63" w:rsidRDefault="00FB6D14">
            <w:pPr>
              <w:jc w:val="center"/>
              <w:rPr>
                <w:rFonts w:ascii="Times New Roman" w:hAnsi="Times New Roman"/>
                <w:sz w:val="16"/>
                <w:szCs w:val="16"/>
              </w:rPr>
            </w:pPr>
            <w:r>
              <w:rPr>
                <w:rFonts w:ascii="Times New Roman" w:hAnsi="Times New Roman"/>
                <w:sz w:val="16"/>
                <w:szCs w:val="16"/>
              </w:rPr>
              <w:t>14.03</w:t>
            </w:r>
          </w:p>
        </w:tc>
        <w:tc>
          <w:tcPr>
            <w:tcW w:w="485" w:type="pct"/>
            <w:tcBorders>
              <w:top w:val="single" w:sz="4" w:space="0" w:color="auto"/>
              <w:left w:val="nil"/>
              <w:right w:val="nil"/>
            </w:tcBorders>
            <w:vAlign w:val="center"/>
          </w:tcPr>
          <w:p w14:paraId="59142BFD" w14:textId="77777777" w:rsidR="00097C63" w:rsidRDefault="00FB6D14">
            <w:pPr>
              <w:jc w:val="center"/>
              <w:rPr>
                <w:rFonts w:ascii="Times New Roman" w:hAnsi="Times New Roman"/>
                <w:sz w:val="16"/>
                <w:szCs w:val="16"/>
              </w:rPr>
            </w:pPr>
            <w:r>
              <w:rPr>
                <w:rFonts w:ascii="Times New Roman" w:hAnsi="Times New Roman"/>
                <w:sz w:val="16"/>
                <w:szCs w:val="16"/>
              </w:rPr>
              <w:t>5.10</w:t>
            </w:r>
          </w:p>
        </w:tc>
        <w:tc>
          <w:tcPr>
            <w:tcW w:w="485" w:type="pct"/>
            <w:gridSpan w:val="2"/>
            <w:tcBorders>
              <w:top w:val="single" w:sz="4" w:space="0" w:color="auto"/>
              <w:left w:val="nil"/>
              <w:right w:val="nil"/>
            </w:tcBorders>
            <w:vAlign w:val="center"/>
          </w:tcPr>
          <w:p w14:paraId="75E87E52" w14:textId="77777777" w:rsidR="00097C63" w:rsidRDefault="00FB6D14">
            <w:pPr>
              <w:jc w:val="center"/>
              <w:rPr>
                <w:rFonts w:ascii="Times New Roman" w:hAnsi="Times New Roman"/>
                <w:sz w:val="16"/>
                <w:szCs w:val="16"/>
              </w:rPr>
            </w:pPr>
            <w:r>
              <w:rPr>
                <w:rFonts w:ascii="Times New Roman" w:hAnsi="Times New Roman"/>
                <w:sz w:val="16"/>
                <w:szCs w:val="16"/>
              </w:rPr>
              <w:t>37.98</w:t>
            </w:r>
          </w:p>
        </w:tc>
        <w:tc>
          <w:tcPr>
            <w:tcW w:w="483" w:type="pct"/>
            <w:tcBorders>
              <w:top w:val="single" w:sz="4" w:space="0" w:color="auto"/>
              <w:left w:val="nil"/>
              <w:right w:val="nil"/>
            </w:tcBorders>
            <w:vAlign w:val="center"/>
          </w:tcPr>
          <w:p w14:paraId="734301D4" w14:textId="77777777" w:rsidR="00097C63" w:rsidRDefault="00FB6D14">
            <w:pPr>
              <w:jc w:val="center"/>
              <w:rPr>
                <w:rFonts w:ascii="Times New Roman" w:hAnsi="Times New Roman"/>
                <w:sz w:val="16"/>
                <w:szCs w:val="16"/>
              </w:rPr>
            </w:pPr>
            <w:r>
              <w:rPr>
                <w:rFonts w:ascii="Times New Roman" w:hAnsi="Times New Roman"/>
                <w:sz w:val="16"/>
                <w:szCs w:val="16"/>
              </w:rPr>
              <w:t>9.61</w:t>
            </w:r>
          </w:p>
        </w:tc>
        <w:tc>
          <w:tcPr>
            <w:tcW w:w="419" w:type="pct"/>
            <w:tcBorders>
              <w:top w:val="single" w:sz="4" w:space="0" w:color="auto"/>
              <w:left w:val="nil"/>
              <w:right w:val="nil"/>
            </w:tcBorders>
            <w:vAlign w:val="center"/>
          </w:tcPr>
          <w:p w14:paraId="6CAA0D89" w14:textId="77777777" w:rsidR="00097C63" w:rsidRDefault="00FB6D14">
            <w:pPr>
              <w:jc w:val="center"/>
              <w:rPr>
                <w:rFonts w:ascii="Times New Roman" w:hAnsi="Times New Roman"/>
                <w:sz w:val="16"/>
                <w:szCs w:val="16"/>
              </w:rPr>
            </w:pPr>
            <w:r>
              <w:rPr>
                <w:rFonts w:ascii="Times New Roman" w:hAnsi="Times New Roman"/>
                <w:sz w:val="16"/>
                <w:szCs w:val="16"/>
              </w:rPr>
              <w:t>9.61</w:t>
            </w:r>
          </w:p>
        </w:tc>
        <w:tc>
          <w:tcPr>
            <w:tcW w:w="326" w:type="pct"/>
            <w:tcBorders>
              <w:top w:val="single" w:sz="4" w:space="0" w:color="auto"/>
              <w:left w:val="nil"/>
            </w:tcBorders>
            <w:vAlign w:val="center"/>
          </w:tcPr>
          <w:p w14:paraId="52D633C9" w14:textId="77777777" w:rsidR="00097C63" w:rsidRDefault="00FB6D14">
            <w:pPr>
              <w:jc w:val="center"/>
              <w:rPr>
                <w:rFonts w:ascii="Times New Roman" w:hAnsi="Times New Roman"/>
                <w:sz w:val="16"/>
                <w:szCs w:val="16"/>
              </w:rPr>
            </w:pPr>
            <w:r>
              <w:rPr>
                <w:rFonts w:ascii="Times New Roman" w:hAnsi="Times New Roman"/>
                <w:sz w:val="16"/>
                <w:szCs w:val="16"/>
              </w:rPr>
              <w:t>29.55</w:t>
            </w:r>
          </w:p>
        </w:tc>
      </w:tr>
      <w:tr w:rsidR="00097C63" w14:paraId="697D41E8" w14:textId="77777777">
        <w:trPr>
          <w:gridAfter w:val="1"/>
          <w:wAfter w:w="7" w:type="pct"/>
          <w:jc w:val="center"/>
        </w:trPr>
        <w:tc>
          <w:tcPr>
            <w:tcW w:w="860" w:type="pct"/>
            <w:tcBorders>
              <w:right w:val="nil"/>
            </w:tcBorders>
          </w:tcPr>
          <w:p w14:paraId="1466787F" w14:textId="77777777" w:rsidR="00097C63" w:rsidRDefault="00FB6D14">
            <w:pPr>
              <w:jc w:val="center"/>
              <w:rPr>
                <w:rFonts w:ascii="Times New Roman" w:hAnsi="Times New Roman"/>
                <w:sz w:val="16"/>
                <w:szCs w:val="16"/>
              </w:rPr>
            </w:pPr>
            <w:r>
              <w:rPr>
                <w:rFonts w:ascii="Times New Roman" w:hAnsi="Times New Roman"/>
                <w:sz w:val="16"/>
                <w:szCs w:val="16"/>
              </w:rPr>
              <w:t>0.7</w:t>
            </w:r>
          </w:p>
        </w:tc>
        <w:tc>
          <w:tcPr>
            <w:tcW w:w="479" w:type="pct"/>
            <w:tcBorders>
              <w:left w:val="nil"/>
              <w:right w:val="nil"/>
            </w:tcBorders>
            <w:vAlign w:val="center"/>
          </w:tcPr>
          <w:p w14:paraId="3A294ED1" w14:textId="77777777" w:rsidR="00097C63" w:rsidRDefault="00FB6D14">
            <w:pPr>
              <w:jc w:val="center"/>
              <w:rPr>
                <w:rFonts w:ascii="Times New Roman" w:hAnsi="Times New Roman"/>
                <w:sz w:val="16"/>
                <w:szCs w:val="16"/>
              </w:rPr>
            </w:pPr>
            <w:r>
              <w:rPr>
                <w:rFonts w:ascii="Times New Roman" w:hAnsi="Times New Roman"/>
                <w:sz w:val="16"/>
                <w:szCs w:val="16"/>
              </w:rPr>
              <w:t>16.11</w:t>
            </w:r>
          </w:p>
        </w:tc>
        <w:tc>
          <w:tcPr>
            <w:tcW w:w="484" w:type="pct"/>
            <w:gridSpan w:val="2"/>
            <w:tcBorders>
              <w:left w:val="nil"/>
              <w:right w:val="nil"/>
            </w:tcBorders>
            <w:vAlign w:val="center"/>
          </w:tcPr>
          <w:p w14:paraId="5DC187FB" w14:textId="77777777" w:rsidR="00097C63" w:rsidRDefault="00FB6D14">
            <w:pPr>
              <w:jc w:val="center"/>
              <w:rPr>
                <w:rFonts w:ascii="Times New Roman" w:hAnsi="Times New Roman"/>
                <w:sz w:val="16"/>
                <w:szCs w:val="16"/>
              </w:rPr>
            </w:pPr>
            <w:r>
              <w:rPr>
                <w:rFonts w:ascii="Times New Roman" w:hAnsi="Times New Roman"/>
                <w:sz w:val="16"/>
                <w:szCs w:val="16"/>
              </w:rPr>
              <w:t>5.86</w:t>
            </w:r>
          </w:p>
        </w:tc>
        <w:tc>
          <w:tcPr>
            <w:tcW w:w="486" w:type="pct"/>
            <w:tcBorders>
              <w:left w:val="nil"/>
              <w:right w:val="nil"/>
            </w:tcBorders>
            <w:vAlign w:val="center"/>
          </w:tcPr>
          <w:p w14:paraId="648AA324" w14:textId="77777777" w:rsidR="00097C63" w:rsidRDefault="00FB6D14">
            <w:pPr>
              <w:jc w:val="center"/>
              <w:rPr>
                <w:rFonts w:ascii="Times New Roman" w:hAnsi="Times New Roman"/>
                <w:sz w:val="16"/>
                <w:szCs w:val="16"/>
              </w:rPr>
            </w:pPr>
            <w:r>
              <w:rPr>
                <w:rFonts w:ascii="Times New Roman" w:hAnsi="Times New Roman"/>
                <w:sz w:val="16"/>
                <w:szCs w:val="16"/>
              </w:rPr>
              <w:t>38.04</w:t>
            </w:r>
          </w:p>
        </w:tc>
        <w:tc>
          <w:tcPr>
            <w:tcW w:w="485" w:type="pct"/>
            <w:tcBorders>
              <w:left w:val="nil"/>
              <w:right w:val="nil"/>
            </w:tcBorders>
            <w:vAlign w:val="center"/>
          </w:tcPr>
          <w:p w14:paraId="35A178B1" w14:textId="77777777" w:rsidR="00097C63" w:rsidRDefault="00FB6D14">
            <w:pPr>
              <w:jc w:val="center"/>
              <w:rPr>
                <w:rFonts w:ascii="Times New Roman" w:hAnsi="Times New Roman"/>
                <w:sz w:val="16"/>
                <w:szCs w:val="16"/>
              </w:rPr>
            </w:pPr>
            <w:r>
              <w:rPr>
                <w:rFonts w:ascii="Times New Roman" w:hAnsi="Times New Roman"/>
                <w:sz w:val="16"/>
                <w:szCs w:val="16"/>
              </w:rPr>
              <w:t>15.92</w:t>
            </w:r>
          </w:p>
        </w:tc>
        <w:tc>
          <w:tcPr>
            <w:tcW w:w="485" w:type="pct"/>
            <w:tcBorders>
              <w:left w:val="nil"/>
              <w:right w:val="nil"/>
            </w:tcBorders>
            <w:vAlign w:val="center"/>
          </w:tcPr>
          <w:p w14:paraId="0E9FE543" w14:textId="77777777" w:rsidR="00097C63" w:rsidRDefault="00FB6D14">
            <w:pPr>
              <w:jc w:val="center"/>
              <w:rPr>
                <w:rFonts w:ascii="Times New Roman" w:hAnsi="Times New Roman"/>
                <w:sz w:val="16"/>
                <w:szCs w:val="16"/>
              </w:rPr>
            </w:pPr>
            <w:r>
              <w:rPr>
                <w:rFonts w:ascii="Times New Roman" w:hAnsi="Times New Roman"/>
                <w:sz w:val="16"/>
                <w:szCs w:val="16"/>
              </w:rPr>
              <w:t>3.92</w:t>
            </w:r>
          </w:p>
        </w:tc>
        <w:tc>
          <w:tcPr>
            <w:tcW w:w="485" w:type="pct"/>
            <w:gridSpan w:val="2"/>
            <w:tcBorders>
              <w:left w:val="nil"/>
              <w:right w:val="nil"/>
            </w:tcBorders>
            <w:vAlign w:val="center"/>
          </w:tcPr>
          <w:p w14:paraId="272AEF58" w14:textId="77777777" w:rsidR="00097C63" w:rsidRDefault="00FB6D14">
            <w:pPr>
              <w:jc w:val="center"/>
              <w:rPr>
                <w:rFonts w:ascii="Times New Roman" w:hAnsi="Times New Roman"/>
                <w:sz w:val="16"/>
                <w:szCs w:val="16"/>
              </w:rPr>
            </w:pPr>
            <w:r>
              <w:rPr>
                <w:rFonts w:ascii="Times New Roman" w:hAnsi="Times New Roman"/>
                <w:sz w:val="16"/>
                <w:szCs w:val="16"/>
              </w:rPr>
              <w:t>37.96</w:t>
            </w:r>
          </w:p>
        </w:tc>
        <w:tc>
          <w:tcPr>
            <w:tcW w:w="483" w:type="pct"/>
            <w:tcBorders>
              <w:left w:val="nil"/>
              <w:right w:val="nil"/>
            </w:tcBorders>
            <w:vAlign w:val="center"/>
          </w:tcPr>
          <w:p w14:paraId="352CB8B1" w14:textId="77777777" w:rsidR="00097C63" w:rsidRDefault="00FB6D14">
            <w:pPr>
              <w:jc w:val="center"/>
              <w:rPr>
                <w:rFonts w:ascii="Times New Roman" w:hAnsi="Times New Roman"/>
                <w:sz w:val="16"/>
                <w:szCs w:val="16"/>
              </w:rPr>
            </w:pPr>
            <w:r>
              <w:rPr>
                <w:rFonts w:ascii="Times New Roman" w:hAnsi="Times New Roman"/>
                <w:sz w:val="16"/>
                <w:szCs w:val="16"/>
              </w:rPr>
              <w:t>10.87</w:t>
            </w:r>
          </w:p>
        </w:tc>
        <w:tc>
          <w:tcPr>
            <w:tcW w:w="419" w:type="pct"/>
            <w:tcBorders>
              <w:left w:val="nil"/>
              <w:right w:val="nil"/>
            </w:tcBorders>
            <w:vAlign w:val="center"/>
          </w:tcPr>
          <w:p w14:paraId="0FB64136" w14:textId="77777777" w:rsidR="00097C63" w:rsidRDefault="00FB6D14">
            <w:pPr>
              <w:jc w:val="center"/>
              <w:rPr>
                <w:rFonts w:ascii="Times New Roman" w:hAnsi="Times New Roman"/>
                <w:sz w:val="16"/>
                <w:szCs w:val="16"/>
              </w:rPr>
            </w:pPr>
            <w:r>
              <w:rPr>
                <w:rFonts w:ascii="Times New Roman" w:hAnsi="Times New Roman"/>
                <w:sz w:val="16"/>
                <w:szCs w:val="16"/>
              </w:rPr>
              <w:t>10.87</w:t>
            </w:r>
          </w:p>
        </w:tc>
        <w:tc>
          <w:tcPr>
            <w:tcW w:w="326" w:type="pct"/>
            <w:tcBorders>
              <w:left w:val="nil"/>
            </w:tcBorders>
            <w:vAlign w:val="center"/>
          </w:tcPr>
          <w:p w14:paraId="5DF05F1A" w14:textId="77777777" w:rsidR="00097C63" w:rsidRDefault="00FB6D14">
            <w:pPr>
              <w:jc w:val="center"/>
              <w:rPr>
                <w:rFonts w:ascii="Times New Roman" w:hAnsi="Times New Roman"/>
                <w:sz w:val="16"/>
                <w:szCs w:val="16"/>
              </w:rPr>
            </w:pPr>
            <w:r>
              <w:rPr>
                <w:rFonts w:ascii="Times New Roman" w:hAnsi="Times New Roman"/>
                <w:sz w:val="16"/>
                <w:szCs w:val="16"/>
              </w:rPr>
              <w:t>30.97</w:t>
            </w:r>
          </w:p>
        </w:tc>
      </w:tr>
      <w:tr w:rsidR="00097C63" w14:paraId="1616BC85" w14:textId="77777777">
        <w:trPr>
          <w:gridAfter w:val="1"/>
          <w:wAfter w:w="7" w:type="pct"/>
          <w:jc w:val="center"/>
        </w:trPr>
        <w:tc>
          <w:tcPr>
            <w:tcW w:w="860" w:type="pct"/>
            <w:tcBorders>
              <w:right w:val="nil"/>
            </w:tcBorders>
          </w:tcPr>
          <w:p w14:paraId="05565CD8" w14:textId="77777777" w:rsidR="00097C63" w:rsidRDefault="00FB6D14">
            <w:pPr>
              <w:jc w:val="center"/>
              <w:rPr>
                <w:rFonts w:ascii="Times New Roman" w:hAnsi="Times New Roman"/>
                <w:sz w:val="16"/>
                <w:szCs w:val="16"/>
              </w:rPr>
            </w:pPr>
            <w:r>
              <w:rPr>
                <w:rFonts w:ascii="Times New Roman" w:hAnsi="Times New Roman"/>
                <w:sz w:val="16"/>
                <w:szCs w:val="16"/>
              </w:rPr>
              <w:t>0.8</w:t>
            </w:r>
          </w:p>
        </w:tc>
        <w:tc>
          <w:tcPr>
            <w:tcW w:w="479" w:type="pct"/>
            <w:tcBorders>
              <w:left w:val="nil"/>
              <w:right w:val="nil"/>
            </w:tcBorders>
          </w:tcPr>
          <w:p w14:paraId="5D346BBC" w14:textId="77777777" w:rsidR="00097C63" w:rsidRDefault="00FB6D14">
            <w:pPr>
              <w:jc w:val="center"/>
              <w:rPr>
                <w:rFonts w:ascii="Times New Roman" w:hAnsi="Times New Roman"/>
                <w:sz w:val="16"/>
                <w:szCs w:val="16"/>
              </w:rPr>
            </w:pPr>
            <w:r>
              <w:rPr>
                <w:rFonts w:ascii="Times New Roman" w:hAnsi="Times New Roman"/>
                <w:sz w:val="16"/>
                <w:szCs w:val="16"/>
              </w:rPr>
              <w:t>19.32</w:t>
            </w:r>
          </w:p>
        </w:tc>
        <w:tc>
          <w:tcPr>
            <w:tcW w:w="484" w:type="pct"/>
            <w:gridSpan w:val="2"/>
            <w:tcBorders>
              <w:left w:val="nil"/>
              <w:right w:val="nil"/>
            </w:tcBorders>
          </w:tcPr>
          <w:p w14:paraId="3F15FE03" w14:textId="77777777" w:rsidR="00097C63" w:rsidRDefault="00FB6D14">
            <w:pPr>
              <w:jc w:val="center"/>
              <w:rPr>
                <w:rFonts w:ascii="Times New Roman" w:hAnsi="Times New Roman"/>
                <w:sz w:val="16"/>
                <w:szCs w:val="16"/>
              </w:rPr>
            </w:pPr>
            <w:r>
              <w:rPr>
                <w:rFonts w:ascii="Times New Roman" w:hAnsi="Times New Roman"/>
                <w:sz w:val="16"/>
                <w:szCs w:val="16"/>
              </w:rPr>
              <w:t>3.98</w:t>
            </w:r>
          </w:p>
        </w:tc>
        <w:tc>
          <w:tcPr>
            <w:tcW w:w="486" w:type="pct"/>
            <w:tcBorders>
              <w:left w:val="nil"/>
              <w:right w:val="nil"/>
            </w:tcBorders>
          </w:tcPr>
          <w:p w14:paraId="49BE9673" w14:textId="77777777" w:rsidR="00097C63" w:rsidRDefault="00FB6D14">
            <w:pPr>
              <w:jc w:val="center"/>
              <w:rPr>
                <w:rFonts w:ascii="Times New Roman" w:hAnsi="Times New Roman"/>
                <w:sz w:val="16"/>
                <w:szCs w:val="16"/>
              </w:rPr>
            </w:pPr>
            <w:r>
              <w:rPr>
                <w:rFonts w:ascii="Times New Roman" w:hAnsi="Times New Roman"/>
                <w:sz w:val="16"/>
                <w:szCs w:val="16"/>
              </w:rPr>
              <w:t>38.01</w:t>
            </w:r>
          </w:p>
        </w:tc>
        <w:tc>
          <w:tcPr>
            <w:tcW w:w="485" w:type="pct"/>
            <w:tcBorders>
              <w:left w:val="nil"/>
              <w:right w:val="nil"/>
            </w:tcBorders>
          </w:tcPr>
          <w:p w14:paraId="2F9EA00E" w14:textId="77777777" w:rsidR="00097C63" w:rsidRDefault="00FB6D14">
            <w:pPr>
              <w:jc w:val="center"/>
              <w:rPr>
                <w:rFonts w:ascii="Times New Roman" w:hAnsi="Times New Roman"/>
                <w:sz w:val="16"/>
                <w:szCs w:val="16"/>
              </w:rPr>
            </w:pPr>
            <w:r>
              <w:rPr>
                <w:rFonts w:ascii="Times New Roman" w:hAnsi="Times New Roman"/>
                <w:sz w:val="16"/>
                <w:szCs w:val="16"/>
              </w:rPr>
              <w:t>18.15</w:t>
            </w:r>
          </w:p>
        </w:tc>
        <w:tc>
          <w:tcPr>
            <w:tcW w:w="485" w:type="pct"/>
            <w:tcBorders>
              <w:left w:val="nil"/>
              <w:right w:val="nil"/>
            </w:tcBorders>
          </w:tcPr>
          <w:p w14:paraId="736F1099" w14:textId="77777777" w:rsidR="00097C63" w:rsidRDefault="00FB6D14">
            <w:pPr>
              <w:jc w:val="center"/>
              <w:rPr>
                <w:rFonts w:ascii="Times New Roman" w:hAnsi="Times New Roman"/>
                <w:sz w:val="16"/>
                <w:szCs w:val="16"/>
              </w:rPr>
            </w:pPr>
            <w:r>
              <w:rPr>
                <w:rFonts w:ascii="Times New Roman" w:hAnsi="Times New Roman"/>
                <w:sz w:val="16"/>
                <w:szCs w:val="16"/>
              </w:rPr>
              <w:t>3.51</w:t>
            </w:r>
          </w:p>
        </w:tc>
        <w:tc>
          <w:tcPr>
            <w:tcW w:w="485" w:type="pct"/>
            <w:gridSpan w:val="2"/>
            <w:tcBorders>
              <w:left w:val="nil"/>
              <w:right w:val="nil"/>
            </w:tcBorders>
          </w:tcPr>
          <w:p w14:paraId="06DCC3C8" w14:textId="77777777" w:rsidR="00097C63" w:rsidRDefault="00FB6D14">
            <w:pPr>
              <w:jc w:val="center"/>
              <w:rPr>
                <w:rFonts w:ascii="Times New Roman" w:hAnsi="Times New Roman"/>
                <w:sz w:val="16"/>
                <w:szCs w:val="16"/>
              </w:rPr>
            </w:pPr>
            <w:r>
              <w:rPr>
                <w:rFonts w:ascii="Times New Roman" w:hAnsi="Times New Roman"/>
                <w:sz w:val="16"/>
                <w:szCs w:val="16"/>
              </w:rPr>
              <w:t>38.97</w:t>
            </w:r>
          </w:p>
        </w:tc>
        <w:tc>
          <w:tcPr>
            <w:tcW w:w="483" w:type="pct"/>
            <w:tcBorders>
              <w:left w:val="nil"/>
              <w:right w:val="nil"/>
            </w:tcBorders>
          </w:tcPr>
          <w:p w14:paraId="5E4F8F6B" w14:textId="77777777" w:rsidR="00097C63" w:rsidRDefault="00FB6D14">
            <w:pPr>
              <w:jc w:val="center"/>
              <w:rPr>
                <w:rFonts w:ascii="Times New Roman" w:hAnsi="Times New Roman"/>
                <w:sz w:val="16"/>
                <w:szCs w:val="16"/>
              </w:rPr>
            </w:pPr>
            <w:r>
              <w:rPr>
                <w:rFonts w:ascii="Times New Roman" w:hAnsi="Times New Roman"/>
                <w:sz w:val="16"/>
                <w:szCs w:val="16"/>
              </w:rPr>
              <w:t>10.64</w:t>
            </w:r>
          </w:p>
        </w:tc>
        <w:tc>
          <w:tcPr>
            <w:tcW w:w="419" w:type="pct"/>
            <w:tcBorders>
              <w:left w:val="nil"/>
              <w:right w:val="nil"/>
            </w:tcBorders>
          </w:tcPr>
          <w:p w14:paraId="2D3DEBD1" w14:textId="77777777" w:rsidR="00097C63" w:rsidRDefault="00FB6D14">
            <w:pPr>
              <w:jc w:val="center"/>
              <w:rPr>
                <w:rFonts w:ascii="Times New Roman" w:hAnsi="Times New Roman"/>
                <w:sz w:val="16"/>
                <w:szCs w:val="16"/>
              </w:rPr>
            </w:pPr>
            <w:r>
              <w:rPr>
                <w:rFonts w:ascii="Times New Roman" w:hAnsi="Times New Roman"/>
                <w:sz w:val="16"/>
                <w:szCs w:val="16"/>
              </w:rPr>
              <w:t>10.64</w:t>
            </w:r>
          </w:p>
        </w:tc>
        <w:tc>
          <w:tcPr>
            <w:tcW w:w="326" w:type="pct"/>
            <w:tcBorders>
              <w:left w:val="nil"/>
            </w:tcBorders>
          </w:tcPr>
          <w:p w14:paraId="3B8C72A3" w14:textId="77777777" w:rsidR="00097C63" w:rsidRDefault="00FB6D14">
            <w:pPr>
              <w:jc w:val="center"/>
              <w:rPr>
                <w:rFonts w:ascii="Times New Roman" w:hAnsi="Times New Roman"/>
                <w:sz w:val="16"/>
                <w:szCs w:val="16"/>
              </w:rPr>
            </w:pPr>
            <w:r>
              <w:rPr>
                <w:rFonts w:ascii="Times New Roman" w:hAnsi="Times New Roman"/>
                <w:sz w:val="16"/>
                <w:szCs w:val="16"/>
              </w:rPr>
              <w:t>27.93</w:t>
            </w:r>
          </w:p>
        </w:tc>
      </w:tr>
      <w:tr w:rsidR="00097C63" w14:paraId="015BC728" w14:textId="77777777">
        <w:trPr>
          <w:gridAfter w:val="1"/>
          <w:wAfter w:w="7" w:type="pct"/>
          <w:jc w:val="center"/>
        </w:trPr>
        <w:tc>
          <w:tcPr>
            <w:tcW w:w="860" w:type="pct"/>
            <w:tcBorders>
              <w:right w:val="nil"/>
            </w:tcBorders>
          </w:tcPr>
          <w:p w14:paraId="014B03FA" w14:textId="77777777" w:rsidR="00097C63" w:rsidRDefault="00FB6D14">
            <w:pPr>
              <w:jc w:val="center"/>
              <w:rPr>
                <w:rFonts w:ascii="Times New Roman" w:hAnsi="Times New Roman"/>
                <w:sz w:val="16"/>
                <w:szCs w:val="16"/>
              </w:rPr>
            </w:pPr>
            <w:r>
              <w:rPr>
                <w:rFonts w:ascii="Times New Roman" w:hAnsi="Times New Roman"/>
                <w:sz w:val="16"/>
                <w:szCs w:val="16"/>
              </w:rPr>
              <w:t>0.9</w:t>
            </w:r>
          </w:p>
        </w:tc>
        <w:tc>
          <w:tcPr>
            <w:tcW w:w="479" w:type="pct"/>
            <w:tcBorders>
              <w:left w:val="nil"/>
              <w:right w:val="nil"/>
            </w:tcBorders>
            <w:vAlign w:val="center"/>
          </w:tcPr>
          <w:p w14:paraId="35E43023" w14:textId="77777777" w:rsidR="00097C63" w:rsidRDefault="00FB6D14">
            <w:pPr>
              <w:jc w:val="center"/>
              <w:rPr>
                <w:rFonts w:ascii="Times New Roman" w:hAnsi="Times New Roman"/>
                <w:sz w:val="16"/>
                <w:szCs w:val="16"/>
              </w:rPr>
            </w:pPr>
            <w:r>
              <w:rPr>
                <w:rFonts w:ascii="Times New Roman" w:hAnsi="Times New Roman"/>
                <w:sz w:val="16"/>
                <w:szCs w:val="16"/>
              </w:rPr>
              <w:t>19.88</w:t>
            </w:r>
          </w:p>
        </w:tc>
        <w:tc>
          <w:tcPr>
            <w:tcW w:w="484" w:type="pct"/>
            <w:gridSpan w:val="2"/>
            <w:tcBorders>
              <w:left w:val="nil"/>
              <w:right w:val="nil"/>
            </w:tcBorders>
            <w:vAlign w:val="center"/>
          </w:tcPr>
          <w:p w14:paraId="0E178FE7" w14:textId="77777777" w:rsidR="00097C63" w:rsidRDefault="00FB6D14">
            <w:pPr>
              <w:jc w:val="center"/>
              <w:rPr>
                <w:rFonts w:ascii="Times New Roman" w:hAnsi="Times New Roman"/>
                <w:sz w:val="16"/>
                <w:szCs w:val="16"/>
              </w:rPr>
            </w:pPr>
            <w:r>
              <w:rPr>
                <w:rFonts w:ascii="Times New Roman" w:hAnsi="Times New Roman"/>
                <w:sz w:val="16"/>
                <w:szCs w:val="16"/>
              </w:rPr>
              <w:t>3.73</w:t>
            </w:r>
          </w:p>
        </w:tc>
        <w:tc>
          <w:tcPr>
            <w:tcW w:w="486" w:type="pct"/>
            <w:tcBorders>
              <w:left w:val="nil"/>
              <w:right w:val="nil"/>
            </w:tcBorders>
            <w:vAlign w:val="center"/>
          </w:tcPr>
          <w:p w14:paraId="38F8400C" w14:textId="77777777" w:rsidR="00097C63" w:rsidRDefault="00FB6D14">
            <w:pPr>
              <w:jc w:val="center"/>
              <w:rPr>
                <w:rFonts w:ascii="Times New Roman" w:hAnsi="Times New Roman"/>
                <w:sz w:val="16"/>
                <w:szCs w:val="16"/>
              </w:rPr>
            </w:pPr>
            <w:r>
              <w:rPr>
                <w:rFonts w:ascii="Times New Roman" w:hAnsi="Times New Roman"/>
                <w:sz w:val="16"/>
                <w:szCs w:val="16"/>
              </w:rPr>
              <w:t>35.68</w:t>
            </w:r>
          </w:p>
        </w:tc>
        <w:tc>
          <w:tcPr>
            <w:tcW w:w="485" w:type="pct"/>
            <w:tcBorders>
              <w:left w:val="nil"/>
              <w:right w:val="nil"/>
            </w:tcBorders>
            <w:vAlign w:val="center"/>
          </w:tcPr>
          <w:p w14:paraId="26BDEFDE" w14:textId="77777777" w:rsidR="00097C63" w:rsidRDefault="00FB6D14">
            <w:pPr>
              <w:jc w:val="center"/>
              <w:rPr>
                <w:rFonts w:ascii="Times New Roman" w:hAnsi="Times New Roman"/>
                <w:sz w:val="16"/>
                <w:szCs w:val="16"/>
              </w:rPr>
            </w:pPr>
            <w:r>
              <w:rPr>
                <w:rFonts w:ascii="Times New Roman" w:hAnsi="Times New Roman"/>
                <w:sz w:val="16"/>
                <w:szCs w:val="16"/>
              </w:rPr>
              <w:t>21.95</w:t>
            </w:r>
          </w:p>
        </w:tc>
        <w:tc>
          <w:tcPr>
            <w:tcW w:w="485" w:type="pct"/>
            <w:tcBorders>
              <w:left w:val="nil"/>
              <w:right w:val="nil"/>
            </w:tcBorders>
            <w:vAlign w:val="center"/>
          </w:tcPr>
          <w:p w14:paraId="5FA7D384" w14:textId="77777777" w:rsidR="00097C63" w:rsidRDefault="00FB6D14">
            <w:pPr>
              <w:jc w:val="center"/>
              <w:rPr>
                <w:rFonts w:ascii="Times New Roman" w:hAnsi="Times New Roman"/>
                <w:sz w:val="16"/>
                <w:szCs w:val="16"/>
              </w:rPr>
            </w:pPr>
            <w:r>
              <w:rPr>
                <w:rFonts w:ascii="Times New Roman" w:hAnsi="Times New Roman"/>
                <w:sz w:val="16"/>
                <w:szCs w:val="16"/>
              </w:rPr>
              <w:t>2.88</w:t>
            </w:r>
          </w:p>
        </w:tc>
        <w:tc>
          <w:tcPr>
            <w:tcW w:w="485" w:type="pct"/>
            <w:gridSpan w:val="2"/>
            <w:tcBorders>
              <w:left w:val="nil"/>
              <w:right w:val="nil"/>
            </w:tcBorders>
            <w:vAlign w:val="center"/>
          </w:tcPr>
          <w:p w14:paraId="446A4DD0" w14:textId="77777777" w:rsidR="00097C63" w:rsidRDefault="00FB6D14">
            <w:pPr>
              <w:jc w:val="center"/>
              <w:rPr>
                <w:rFonts w:ascii="Times New Roman" w:hAnsi="Times New Roman"/>
                <w:sz w:val="16"/>
                <w:szCs w:val="16"/>
              </w:rPr>
            </w:pPr>
            <w:r>
              <w:rPr>
                <w:rFonts w:ascii="Times New Roman" w:hAnsi="Times New Roman"/>
                <w:sz w:val="16"/>
                <w:szCs w:val="16"/>
              </w:rPr>
              <w:t>37.20</w:t>
            </w:r>
          </w:p>
        </w:tc>
        <w:tc>
          <w:tcPr>
            <w:tcW w:w="483" w:type="pct"/>
            <w:tcBorders>
              <w:left w:val="nil"/>
              <w:right w:val="nil"/>
            </w:tcBorders>
            <w:vAlign w:val="center"/>
          </w:tcPr>
          <w:p w14:paraId="3D37FCC1" w14:textId="77777777" w:rsidR="00097C63" w:rsidRDefault="00FB6D14">
            <w:pPr>
              <w:jc w:val="center"/>
              <w:rPr>
                <w:rFonts w:ascii="Times New Roman" w:hAnsi="Times New Roman"/>
                <w:sz w:val="16"/>
                <w:szCs w:val="16"/>
              </w:rPr>
            </w:pPr>
            <w:r>
              <w:rPr>
                <w:rFonts w:ascii="Times New Roman" w:hAnsi="Times New Roman"/>
                <w:sz w:val="16"/>
                <w:szCs w:val="16"/>
              </w:rPr>
              <w:t>9.07</w:t>
            </w:r>
          </w:p>
        </w:tc>
        <w:tc>
          <w:tcPr>
            <w:tcW w:w="419" w:type="pct"/>
            <w:tcBorders>
              <w:left w:val="nil"/>
              <w:right w:val="nil"/>
            </w:tcBorders>
            <w:vAlign w:val="center"/>
          </w:tcPr>
          <w:p w14:paraId="27E849F0" w14:textId="77777777" w:rsidR="00097C63" w:rsidRDefault="00FB6D14">
            <w:pPr>
              <w:jc w:val="center"/>
              <w:rPr>
                <w:rFonts w:ascii="Times New Roman" w:hAnsi="Times New Roman"/>
                <w:sz w:val="16"/>
                <w:szCs w:val="16"/>
              </w:rPr>
            </w:pPr>
            <w:r>
              <w:rPr>
                <w:rFonts w:ascii="Times New Roman" w:hAnsi="Times New Roman"/>
                <w:sz w:val="16"/>
                <w:szCs w:val="16"/>
              </w:rPr>
              <w:t>9.07</w:t>
            </w:r>
          </w:p>
        </w:tc>
        <w:tc>
          <w:tcPr>
            <w:tcW w:w="326" w:type="pct"/>
            <w:tcBorders>
              <w:left w:val="nil"/>
            </w:tcBorders>
            <w:vAlign w:val="center"/>
          </w:tcPr>
          <w:p w14:paraId="15693D27" w14:textId="77777777" w:rsidR="00097C63" w:rsidRDefault="00FB6D14">
            <w:pPr>
              <w:jc w:val="center"/>
              <w:rPr>
                <w:rFonts w:ascii="Times New Roman" w:hAnsi="Times New Roman"/>
                <w:sz w:val="16"/>
                <w:szCs w:val="16"/>
              </w:rPr>
            </w:pPr>
            <w:r>
              <w:rPr>
                <w:rFonts w:ascii="Times New Roman" w:hAnsi="Times New Roman"/>
                <w:sz w:val="16"/>
                <w:szCs w:val="16"/>
              </w:rPr>
              <w:t>26.38</w:t>
            </w:r>
          </w:p>
        </w:tc>
      </w:tr>
      <w:tr w:rsidR="00097C63" w14:paraId="56474243" w14:textId="77777777">
        <w:trPr>
          <w:gridAfter w:val="1"/>
          <w:wAfter w:w="7" w:type="pct"/>
          <w:jc w:val="center"/>
        </w:trPr>
        <w:tc>
          <w:tcPr>
            <w:tcW w:w="860" w:type="pct"/>
            <w:tcBorders>
              <w:bottom w:val="single" w:sz="4" w:space="0" w:color="auto"/>
              <w:right w:val="nil"/>
            </w:tcBorders>
          </w:tcPr>
          <w:p w14:paraId="38F3EFAC" w14:textId="77777777" w:rsidR="00097C63" w:rsidRDefault="00FB6D14">
            <w:pPr>
              <w:jc w:val="center"/>
              <w:rPr>
                <w:rFonts w:ascii="Times New Roman" w:hAnsi="Times New Roman"/>
                <w:sz w:val="16"/>
                <w:szCs w:val="16"/>
              </w:rPr>
            </w:pPr>
            <w:r>
              <w:rPr>
                <w:rFonts w:ascii="Times New Roman" w:hAnsi="Times New Roman"/>
                <w:sz w:val="16"/>
                <w:szCs w:val="16"/>
              </w:rPr>
              <w:t>1.0</w:t>
            </w:r>
          </w:p>
        </w:tc>
        <w:tc>
          <w:tcPr>
            <w:tcW w:w="479" w:type="pct"/>
            <w:tcBorders>
              <w:left w:val="nil"/>
              <w:bottom w:val="single" w:sz="4" w:space="0" w:color="auto"/>
              <w:right w:val="nil"/>
            </w:tcBorders>
            <w:vAlign w:val="center"/>
          </w:tcPr>
          <w:p w14:paraId="013E5E6C" w14:textId="77777777" w:rsidR="00097C63" w:rsidRDefault="00FB6D14">
            <w:pPr>
              <w:jc w:val="center"/>
              <w:rPr>
                <w:rFonts w:ascii="Times New Roman" w:hAnsi="Times New Roman"/>
                <w:sz w:val="16"/>
                <w:szCs w:val="16"/>
              </w:rPr>
            </w:pPr>
            <w:r>
              <w:rPr>
                <w:rFonts w:ascii="Times New Roman" w:hAnsi="Times New Roman"/>
                <w:sz w:val="16"/>
                <w:szCs w:val="16"/>
              </w:rPr>
              <w:t>22.79</w:t>
            </w:r>
          </w:p>
        </w:tc>
        <w:tc>
          <w:tcPr>
            <w:tcW w:w="484" w:type="pct"/>
            <w:gridSpan w:val="2"/>
            <w:tcBorders>
              <w:left w:val="nil"/>
              <w:bottom w:val="single" w:sz="4" w:space="0" w:color="auto"/>
              <w:right w:val="nil"/>
            </w:tcBorders>
            <w:vAlign w:val="center"/>
          </w:tcPr>
          <w:p w14:paraId="50B9185F" w14:textId="77777777" w:rsidR="00097C63" w:rsidRDefault="00FB6D14">
            <w:pPr>
              <w:jc w:val="center"/>
              <w:rPr>
                <w:rFonts w:ascii="Times New Roman" w:hAnsi="Times New Roman"/>
                <w:sz w:val="16"/>
                <w:szCs w:val="16"/>
              </w:rPr>
            </w:pPr>
            <w:r>
              <w:rPr>
                <w:rFonts w:ascii="Times New Roman" w:hAnsi="Times New Roman"/>
                <w:sz w:val="16"/>
                <w:szCs w:val="16"/>
              </w:rPr>
              <w:t>1.61</w:t>
            </w:r>
          </w:p>
        </w:tc>
        <w:tc>
          <w:tcPr>
            <w:tcW w:w="486" w:type="pct"/>
            <w:tcBorders>
              <w:left w:val="nil"/>
              <w:bottom w:val="single" w:sz="4" w:space="0" w:color="auto"/>
              <w:right w:val="nil"/>
            </w:tcBorders>
            <w:vAlign w:val="center"/>
          </w:tcPr>
          <w:p w14:paraId="67E8C4C2" w14:textId="77777777" w:rsidR="00097C63" w:rsidRDefault="00FB6D14">
            <w:pPr>
              <w:jc w:val="center"/>
              <w:rPr>
                <w:rFonts w:ascii="Times New Roman" w:hAnsi="Times New Roman"/>
                <w:sz w:val="16"/>
                <w:szCs w:val="16"/>
              </w:rPr>
            </w:pPr>
            <w:r>
              <w:rPr>
                <w:rFonts w:ascii="Times New Roman" w:hAnsi="Times New Roman"/>
                <w:sz w:val="16"/>
                <w:szCs w:val="16"/>
              </w:rPr>
              <w:t>12.29</w:t>
            </w:r>
          </w:p>
        </w:tc>
        <w:tc>
          <w:tcPr>
            <w:tcW w:w="485" w:type="pct"/>
            <w:tcBorders>
              <w:left w:val="nil"/>
              <w:bottom w:val="single" w:sz="4" w:space="0" w:color="auto"/>
              <w:right w:val="nil"/>
            </w:tcBorders>
            <w:vAlign w:val="center"/>
          </w:tcPr>
          <w:p w14:paraId="67D14062" w14:textId="77777777" w:rsidR="00097C63" w:rsidRDefault="00FB6D14">
            <w:pPr>
              <w:jc w:val="center"/>
              <w:rPr>
                <w:rFonts w:ascii="Times New Roman" w:hAnsi="Times New Roman"/>
                <w:sz w:val="16"/>
                <w:szCs w:val="16"/>
              </w:rPr>
            </w:pPr>
            <w:r>
              <w:rPr>
                <w:rFonts w:ascii="Times New Roman" w:hAnsi="Times New Roman"/>
                <w:sz w:val="16"/>
                <w:szCs w:val="16"/>
              </w:rPr>
              <w:t>24.78</w:t>
            </w:r>
          </w:p>
        </w:tc>
        <w:tc>
          <w:tcPr>
            <w:tcW w:w="485" w:type="pct"/>
            <w:tcBorders>
              <w:left w:val="nil"/>
              <w:bottom w:val="single" w:sz="4" w:space="0" w:color="auto"/>
              <w:right w:val="nil"/>
            </w:tcBorders>
            <w:vAlign w:val="center"/>
          </w:tcPr>
          <w:p w14:paraId="619FDDBF" w14:textId="77777777" w:rsidR="00097C63" w:rsidRDefault="00FB6D14">
            <w:pPr>
              <w:jc w:val="center"/>
              <w:rPr>
                <w:rFonts w:ascii="Times New Roman" w:hAnsi="Times New Roman"/>
                <w:sz w:val="16"/>
                <w:szCs w:val="16"/>
              </w:rPr>
            </w:pPr>
            <w:r>
              <w:rPr>
                <w:rFonts w:ascii="Times New Roman" w:hAnsi="Times New Roman"/>
                <w:sz w:val="16"/>
                <w:szCs w:val="16"/>
              </w:rPr>
              <w:t>1.62</w:t>
            </w:r>
          </w:p>
        </w:tc>
        <w:tc>
          <w:tcPr>
            <w:tcW w:w="485" w:type="pct"/>
            <w:gridSpan w:val="2"/>
            <w:tcBorders>
              <w:left w:val="nil"/>
              <w:bottom w:val="single" w:sz="4" w:space="0" w:color="auto"/>
              <w:right w:val="nil"/>
            </w:tcBorders>
            <w:vAlign w:val="center"/>
          </w:tcPr>
          <w:p w14:paraId="4D0AC2AD" w14:textId="77777777" w:rsidR="00097C63" w:rsidRDefault="00FB6D14">
            <w:pPr>
              <w:jc w:val="center"/>
              <w:rPr>
                <w:rFonts w:ascii="Times New Roman" w:hAnsi="Times New Roman"/>
                <w:sz w:val="16"/>
                <w:szCs w:val="16"/>
              </w:rPr>
            </w:pPr>
            <w:r>
              <w:rPr>
                <w:rFonts w:ascii="Times New Roman" w:hAnsi="Times New Roman"/>
                <w:sz w:val="16"/>
                <w:szCs w:val="16"/>
              </w:rPr>
              <w:t>17.77</w:t>
            </w:r>
          </w:p>
        </w:tc>
        <w:tc>
          <w:tcPr>
            <w:tcW w:w="483" w:type="pct"/>
            <w:tcBorders>
              <w:left w:val="nil"/>
              <w:bottom w:val="single" w:sz="4" w:space="0" w:color="auto"/>
              <w:right w:val="nil"/>
            </w:tcBorders>
            <w:vAlign w:val="center"/>
          </w:tcPr>
          <w:p w14:paraId="30DB3BF8" w14:textId="77777777" w:rsidR="00097C63" w:rsidRDefault="00FB6D14">
            <w:pPr>
              <w:jc w:val="center"/>
              <w:rPr>
                <w:rFonts w:ascii="Times New Roman" w:hAnsi="Times New Roman"/>
                <w:sz w:val="16"/>
                <w:szCs w:val="16"/>
              </w:rPr>
            </w:pPr>
            <w:r>
              <w:rPr>
                <w:rFonts w:ascii="Times New Roman" w:hAnsi="Times New Roman"/>
                <w:sz w:val="16"/>
                <w:szCs w:val="16"/>
              </w:rPr>
              <w:t>7.43</w:t>
            </w:r>
          </w:p>
        </w:tc>
        <w:tc>
          <w:tcPr>
            <w:tcW w:w="419" w:type="pct"/>
            <w:tcBorders>
              <w:left w:val="nil"/>
              <w:bottom w:val="single" w:sz="4" w:space="0" w:color="auto"/>
              <w:right w:val="nil"/>
            </w:tcBorders>
            <w:vAlign w:val="center"/>
          </w:tcPr>
          <w:p w14:paraId="659859C1" w14:textId="77777777" w:rsidR="00097C63" w:rsidRDefault="00FB6D14">
            <w:pPr>
              <w:jc w:val="center"/>
              <w:rPr>
                <w:rFonts w:ascii="Times New Roman" w:hAnsi="Times New Roman"/>
                <w:sz w:val="16"/>
                <w:szCs w:val="16"/>
              </w:rPr>
            </w:pPr>
            <w:r>
              <w:rPr>
                <w:rFonts w:ascii="Times New Roman" w:hAnsi="Times New Roman"/>
                <w:sz w:val="16"/>
                <w:szCs w:val="16"/>
              </w:rPr>
              <w:t>7.43</w:t>
            </w:r>
          </w:p>
        </w:tc>
        <w:tc>
          <w:tcPr>
            <w:tcW w:w="326" w:type="pct"/>
            <w:tcBorders>
              <w:left w:val="nil"/>
              <w:bottom w:val="single" w:sz="4" w:space="0" w:color="auto"/>
            </w:tcBorders>
            <w:vAlign w:val="center"/>
          </w:tcPr>
          <w:p w14:paraId="20B837F4" w14:textId="77777777" w:rsidR="00097C63" w:rsidRDefault="00FB6D14">
            <w:pPr>
              <w:jc w:val="center"/>
              <w:rPr>
                <w:rFonts w:ascii="Times New Roman" w:hAnsi="Times New Roman"/>
                <w:sz w:val="16"/>
                <w:szCs w:val="16"/>
              </w:rPr>
            </w:pPr>
            <w:r>
              <w:rPr>
                <w:rFonts w:ascii="Times New Roman" w:hAnsi="Times New Roman"/>
                <w:sz w:val="16"/>
                <w:szCs w:val="16"/>
              </w:rPr>
              <w:t>30.51</w:t>
            </w:r>
          </w:p>
        </w:tc>
      </w:tr>
      <w:tr w:rsidR="00097C63" w14:paraId="74DC2596" w14:textId="77777777">
        <w:trPr>
          <w:gridAfter w:val="1"/>
          <w:wAfter w:w="7" w:type="pct"/>
          <w:jc w:val="center"/>
        </w:trPr>
        <w:tc>
          <w:tcPr>
            <w:tcW w:w="860" w:type="pct"/>
            <w:tcBorders>
              <w:top w:val="single" w:sz="4" w:space="0" w:color="auto"/>
              <w:right w:val="nil"/>
            </w:tcBorders>
          </w:tcPr>
          <w:p w14:paraId="06C5EE24" w14:textId="77777777" w:rsidR="00097C63" w:rsidRDefault="00FB6D14">
            <w:pPr>
              <w:jc w:val="center"/>
              <w:rPr>
                <w:rFonts w:ascii="Times New Roman" w:hAnsi="Times New Roman"/>
                <w:sz w:val="16"/>
                <w:szCs w:val="16"/>
              </w:rPr>
            </w:pPr>
            <m:oMathPara>
              <m:oMath>
                <m:r>
                  <w:rPr>
                    <w:rFonts w:ascii="Cambria Math" w:hAnsi="Cambria Math"/>
                    <w:sz w:val="16"/>
                    <w:szCs w:val="16"/>
                  </w:rPr>
                  <m:t>u=1.7</m:t>
                </m:r>
              </m:oMath>
            </m:oMathPara>
          </w:p>
        </w:tc>
        <w:tc>
          <w:tcPr>
            <w:tcW w:w="1450" w:type="pct"/>
            <w:gridSpan w:val="4"/>
            <w:tcBorders>
              <w:top w:val="single" w:sz="4" w:space="0" w:color="auto"/>
              <w:left w:val="nil"/>
              <w:right w:val="nil"/>
            </w:tcBorders>
          </w:tcPr>
          <w:p w14:paraId="724DA0D5" w14:textId="77777777" w:rsidR="00097C63" w:rsidRDefault="00FB6D14">
            <w:pPr>
              <w:jc w:val="center"/>
              <w:rPr>
                <w:rFonts w:ascii="Times New Roman" w:hAnsi="Times New Roman"/>
                <w:sz w:val="16"/>
                <w:szCs w:val="16"/>
              </w:rPr>
            </w:pPr>
            <w:r>
              <w:rPr>
                <w:rFonts w:ascii="Times New Roman" w:hAnsi="Times New Roman"/>
                <w:sz w:val="16"/>
                <w:szCs w:val="16"/>
              </w:rPr>
              <w:t>PWS</w:t>
            </w:r>
          </w:p>
        </w:tc>
        <w:tc>
          <w:tcPr>
            <w:tcW w:w="1456" w:type="pct"/>
            <w:gridSpan w:val="4"/>
            <w:tcBorders>
              <w:top w:val="single" w:sz="4" w:space="0" w:color="auto"/>
              <w:left w:val="nil"/>
              <w:right w:val="nil"/>
            </w:tcBorders>
          </w:tcPr>
          <w:p w14:paraId="27200FB4" w14:textId="77777777" w:rsidR="00097C63" w:rsidRDefault="00FB6D14">
            <w:pPr>
              <w:jc w:val="center"/>
              <w:rPr>
                <w:rFonts w:ascii="Times New Roman" w:hAnsi="Times New Roman"/>
                <w:sz w:val="16"/>
                <w:szCs w:val="16"/>
              </w:rPr>
            </w:pPr>
            <w:r>
              <w:rPr>
                <w:rFonts w:ascii="Times New Roman" w:hAnsi="Times New Roman"/>
                <w:sz w:val="16"/>
                <w:szCs w:val="16"/>
              </w:rPr>
              <w:t>Strategy A</w:t>
            </w:r>
          </w:p>
        </w:tc>
        <w:tc>
          <w:tcPr>
            <w:tcW w:w="1227" w:type="pct"/>
            <w:gridSpan w:val="3"/>
            <w:tcBorders>
              <w:top w:val="single" w:sz="4" w:space="0" w:color="auto"/>
              <w:left w:val="nil"/>
            </w:tcBorders>
          </w:tcPr>
          <w:p w14:paraId="14073DD7" w14:textId="77777777" w:rsidR="00097C63" w:rsidRDefault="00FB6D14">
            <w:pPr>
              <w:jc w:val="center"/>
              <w:rPr>
                <w:rFonts w:ascii="Times New Roman" w:hAnsi="Times New Roman"/>
                <w:sz w:val="16"/>
                <w:szCs w:val="16"/>
              </w:rPr>
            </w:pPr>
            <w:r>
              <w:rPr>
                <w:rFonts w:ascii="Times New Roman" w:hAnsi="Times New Roman"/>
                <w:sz w:val="16"/>
                <w:szCs w:val="16"/>
              </w:rPr>
              <w:t>Strategy B</w:t>
            </w:r>
          </w:p>
        </w:tc>
      </w:tr>
      <w:tr w:rsidR="00097C63" w14:paraId="1FD643BE" w14:textId="77777777">
        <w:trPr>
          <w:gridAfter w:val="1"/>
          <w:wAfter w:w="7" w:type="pct"/>
          <w:jc w:val="center"/>
        </w:trPr>
        <w:tc>
          <w:tcPr>
            <w:tcW w:w="860" w:type="pct"/>
            <w:tcBorders>
              <w:bottom w:val="single" w:sz="4" w:space="0" w:color="auto"/>
              <w:right w:val="nil"/>
            </w:tcBorders>
          </w:tcPr>
          <w:p w14:paraId="3C9AEC72" w14:textId="77777777" w:rsidR="00097C63" w:rsidRDefault="00FB6D14">
            <w:pPr>
              <w:jc w:val="center"/>
              <w:rPr>
                <w:rFonts w:ascii="Times New Roman" w:hAnsi="Times New Roman"/>
                <w:sz w:val="16"/>
                <w:szCs w:val="16"/>
              </w:rPr>
            </w:pPr>
            <m:oMathPara>
              <m:oMath>
                <m:r>
                  <w:rPr>
                    <w:rFonts w:ascii="Cambria Math" w:hAnsi="Cambria Math"/>
                    <w:sz w:val="16"/>
                    <w:szCs w:val="16"/>
                  </w:rPr>
                  <m:t>λ</m:t>
                </m:r>
              </m:oMath>
            </m:oMathPara>
          </w:p>
        </w:tc>
        <w:tc>
          <w:tcPr>
            <w:tcW w:w="479" w:type="pct"/>
            <w:tcBorders>
              <w:left w:val="nil"/>
              <w:bottom w:val="single" w:sz="4" w:space="0" w:color="auto"/>
              <w:right w:val="nil"/>
            </w:tcBorders>
          </w:tcPr>
          <w:p w14:paraId="1E6D9C1F"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84" w:type="pct"/>
            <w:gridSpan w:val="2"/>
            <w:tcBorders>
              <w:left w:val="nil"/>
              <w:bottom w:val="single" w:sz="4" w:space="0" w:color="auto"/>
              <w:right w:val="nil"/>
            </w:tcBorders>
          </w:tcPr>
          <w:p w14:paraId="6E0B0868"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486" w:type="pct"/>
            <w:tcBorders>
              <w:left w:val="nil"/>
              <w:bottom w:val="single" w:sz="4" w:space="0" w:color="auto"/>
              <w:right w:val="nil"/>
            </w:tcBorders>
          </w:tcPr>
          <w:p w14:paraId="384E71FF"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c>
          <w:tcPr>
            <w:tcW w:w="485" w:type="pct"/>
            <w:tcBorders>
              <w:left w:val="nil"/>
              <w:bottom w:val="single" w:sz="4" w:space="0" w:color="auto"/>
              <w:right w:val="nil"/>
            </w:tcBorders>
          </w:tcPr>
          <w:p w14:paraId="347812FD"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85" w:type="pct"/>
            <w:tcBorders>
              <w:left w:val="nil"/>
              <w:bottom w:val="single" w:sz="4" w:space="0" w:color="auto"/>
              <w:right w:val="nil"/>
            </w:tcBorders>
          </w:tcPr>
          <w:p w14:paraId="7D7D3518"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485" w:type="pct"/>
            <w:gridSpan w:val="2"/>
            <w:tcBorders>
              <w:left w:val="nil"/>
              <w:bottom w:val="single" w:sz="4" w:space="0" w:color="auto"/>
              <w:right w:val="nil"/>
            </w:tcBorders>
          </w:tcPr>
          <w:p w14:paraId="476ADAF8"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c>
          <w:tcPr>
            <w:tcW w:w="483" w:type="pct"/>
            <w:tcBorders>
              <w:left w:val="nil"/>
              <w:bottom w:val="single" w:sz="4" w:space="0" w:color="auto"/>
              <w:right w:val="nil"/>
            </w:tcBorders>
          </w:tcPr>
          <w:p w14:paraId="695F42AB" w14:textId="77777777" w:rsidR="00097C63" w:rsidRDefault="00FB6D14">
            <w:pPr>
              <w:jc w:val="center"/>
              <w:rPr>
                <w:rFonts w:ascii="Times New Roman" w:hAnsi="Times New Roman"/>
                <w:sz w:val="16"/>
                <w:szCs w:val="16"/>
              </w:rPr>
            </w:pPr>
            <w:r>
              <w:rPr>
                <w:rFonts w:ascii="Times New Roman" w:hAnsi="Times New Roman"/>
                <w:i/>
                <w:iCs/>
                <w:sz w:val="16"/>
                <w:szCs w:val="16"/>
              </w:rPr>
              <w:t>D</w:t>
            </w:r>
            <w:r>
              <w:rPr>
                <w:rFonts w:ascii="Times New Roman" w:hAnsi="Times New Roman"/>
                <w:sz w:val="16"/>
                <w:szCs w:val="16"/>
                <w:vertAlign w:val="subscript"/>
              </w:rPr>
              <w:t>1</w:t>
            </w:r>
          </w:p>
        </w:tc>
        <w:tc>
          <w:tcPr>
            <w:tcW w:w="419" w:type="pct"/>
            <w:tcBorders>
              <w:left w:val="nil"/>
              <w:bottom w:val="single" w:sz="4" w:space="0" w:color="auto"/>
              <w:right w:val="nil"/>
            </w:tcBorders>
          </w:tcPr>
          <w:p w14:paraId="068D8D84" w14:textId="77777777" w:rsidR="00097C63" w:rsidRDefault="00FB6D14">
            <w:pPr>
              <w:jc w:val="center"/>
              <w:rPr>
                <w:rFonts w:ascii="Times New Roman" w:hAnsi="Times New Roman"/>
                <w:sz w:val="16"/>
                <w:szCs w:val="16"/>
              </w:rPr>
            </w:pPr>
            <w:r>
              <w:rPr>
                <w:rFonts w:ascii="Times New Roman" w:hAnsi="Times New Roman"/>
                <w:i/>
                <w:iCs/>
                <w:sz w:val="16"/>
                <w:szCs w:val="16"/>
              </w:rPr>
              <w:t>D</w:t>
            </w:r>
          </w:p>
        </w:tc>
        <w:tc>
          <w:tcPr>
            <w:tcW w:w="326" w:type="pct"/>
            <w:tcBorders>
              <w:left w:val="nil"/>
              <w:bottom w:val="single" w:sz="4" w:space="0" w:color="auto"/>
            </w:tcBorders>
          </w:tcPr>
          <w:p w14:paraId="7F7AA9EF" w14:textId="77777777" w:rsidR="00097C63" w:rsidRDefault="00FB6D14">
            <w:pPr>
              <w:jc w:val="center"/>
              <w:rPr>
                <w:rFonts w:ascii="Times New Roman" w:hAnsi="Times New Roman"/>
                <w:sz w:val="16"/>
                <w:szCs w:val="16"/>
              </w:rPr>
            </w:pPr>
            <w:r>
              <w:rPr>
                <w:rFonts w:ascii="Times New Roman" w:hAnsi="Times New Roman"/>
                <w:i/>
                <w:iCs/>
                <w:sz w:val="16"/>
                <w:szCs w:val="16"/>
              </w:rPr>
              <w:t>h</w:t>
            </w:r>
            <w:r>
              <w:rPr>
                <w:rFonts w:ascii="Times New Roman" w:hAnsi="Times New Roman"/>
                <w:sz w:val="16"/>
                <w:szCs w:val="16"/>
                <w:vertAlign w:val="subscript"/>
              </w:rPr>
              <w:t>p</w:t>
            </w:r>
          </w:p>
        </w:tc>
      </w:tr>
      <w:tr w:rsidR="00097C63" w14:paraId="20DA58F0" w14:textId="77777777">
        <w:trPr>
          <w:gridAfter w:val="1"/>
          <w:wAfter w:w="7" w:type="pct"/>
          <w:jc w:val="center"/>
        </w:trPr>
        <w:tc>
          <w:tcPr>
            <w:tcW w:w="860" w:type="pct"/>
            <w:tcBorders>
              <w:top w:val="single" w:sz="4" w:space="0" w:color="auto"/>
              <w:right w:val="nil"/>
            </w:tcBorders>
          </w:tcPr>
          <w:p w14:paraId="79F184B2" w14:textId="77777777" w:rsidR="00097C63" w:rsidRDefault="00FB6D14">
            <w:pPr>
              <w:jc w:val="center"/>
              <w:rPr>
                <w:rFonts w:ascii="Times New Roman" w:hAnsi="Times New Roman"/>
                <w:sz w:val="16"/>
                <w:szCs w:val="16"/>
              </w:rPr>
            </w:pPr>
            <w:r>
              <w:rPr>
                <w:rFonts w:ascii="Times New Roman" w:hAnsi="Times New Roman"/>
                <w:sz w:val="16"/>
                <w:szCs w:val="16"/>
              </w:rPr>
              <w:t>0.6</w:t>
            </w:r>
          </w:p>
        </w:tc>
        <w:tc>
          <w:tcPr>
            <w:tcW w:w="479" w:type="pct"/>
            <w:tcBorders>
              <w:top w:val="single" w:sz="4" w:space="0" w:color="auto"/>
              <w:left w:val="nil"/>
              <w:right w:val="nil"/>
            </w:tcBorders>
            <w:vAlign w:val="center"/>
          </w:tcPr>
          <w:p w14:paraId="417C951A" w14:textId="77777777" w:rsidR="00097C63" w:rsidRDefault="00FB6D14">
            <w:pPr>
              <w:jc w:val="center"/>
              <w:rPr>
                <w:rFonts w:ascii="Times New Roman" w:hAnsi="Times New Roman"/>
                <w:sz w:val="16"/>
                <w:szCs w:val="16"/>
              </w:rPr>
            </w:pPr>
            <w:r>
              <w:rPr>
                <w:rFonts w:ascii="Times New Roman" w:hAnsi="Times New Roman"/>
                <w:sz w:val="16"/>
                <w:szCs w:val="16"/>
              </w:rPr>
              <w:t>12.58</w:t>
            </w:r>
          </w:p>
        </w:tc>
        <w:tc>
          <w:tcPr>
            <w:tcW w:w="484" w:type="pct"/>
            <w:gridSpan w:val="2"/>
            <w:tcBorders>
              <w:top w:val="single" w:sz="4" w:space="0" w:color="auto"/>
              <w:left w:val="nil"/>
              <w:right w:val="nil"/>
            </w:tcBorders>
            <w:vAlign w:val="center"/>
          </w:tcPr>
          <w:p w14:paraId="6370EAC6" w14:textId="77777777" w:rsidR="00097C63" w:rsidRDefault="00FB6D14">
            <w:pPr>
              <w:jc w:val="center"/>
              <w:rPr>
                <w:rFonts w:ascii="Times New Roman" w:hAnsi="Times New Roman"/>
                <w:sz w:val="16"/>
                <w:szCs w:val="16"/>
              </w:rPr>
            </w:pPr>
            <w:r>
              <w:rPr>
                <w:rFonts w:ascii="Times New Roman" w:hAnsi="Times New Roman"/>
                <w:sz w:val="16"/>
                <w:szCs w:val="16"/>
              </w:rPr>
              <w:t>5.56</w:t>
            </w:r>
          </w:p>
        </w:tc>
        <w:tc>
          <w:tcPr>
            <w:tcW w:w="486" w:type="pct"/>
            <w:tcBorders>
              <w:top w:val="single" w:sz="4" w:space="0" w:color="auto"/>
              <w:left w:val="nil"/>
              <w:right w:val="nil"/>
            </w:tcBorders>
            <w:vAlign w:val="center"/>
          </w:tcPr>
          <w:p w14:paraId="7DEB9015" w14:textId="77777777" w:rsidR="00097C63" w:rsidRDefault="00FB6D14">
            <w:pPr>
              <w:jc w:val="center"/>
              <w:rPr>
                <w:rFonts w:ascii="Times New Roman" w:hAnsi="Times New Roman"/>
                <w:sz w:val="16"/>
                <w:szCs w:val="16"/>
              </w:rPr>
            </w:pPr>
            <w:r>
              <w:rPr>
                <w:rFonts w:ascii="Times New Roman" w:hAnsi="Times New Roman"/>
                <w:sz w:val="16"/>
                <w:szCs w:val="16"/>
              </w:rPr>
              <w:t>38.77</w:t>
            </w:r>
          </w:p>
        </w:tc>
        <w:tc>
          <w:tcPr>
            <w:tcW w:w="485" w:type="pct"/>
            <w:tcBorders>
              <w:top w:val="single" w:sz="4" w:space="0" w:color="auto"/>
              <w:left w:val="nil"/>
              <w:right w:val="nil"/>
            </w:tcBorders>
            <w:vAlign w:val="center"/>
          </w:tcPr>
          <w:p w14:paraId="510373E2" w14:textId="77777777" w:rsidR="00097C63" w:rsidRDefault="00FB6D14">
            <w:pPr>
              <w:jc w:val="center"/>
              <w:rPr>
                <w:rFonts w:ascii="Times New Roman" w:hAnsi="Times New Roman"/>
                <w:sz w:val="16"/>
                <w:szCs w:val="16"/>
              </w:rPr>
            </w:pPr>
            <w:r>
              <w:rPr>
                <w:rFonts w:ascii="Times New Roman" w:hAnsi="Times New Roman"/>
                <w:sz w:val="16"/>
                <w:szCs w:val="16"/>
              </w:rPr>
              <w:t>12.20</w:t>
            </w:r>
          </w:p>
        </w:tc>
        <w:tc>
          <w:tcPr>
            <w:tcW w:w="485" w:type="pct"/>
            <w:tcBorders>
              <w:top w:val="single" w:sz="4" w:space="0" w:color="auto"/>
              <w:left w:val="nil"/>
              <w:right w:val="nil"/>
            </w:tcBorders>
            <w:vAlign w:val="center"/>
          </w:tcPr>
          <w:p w14:paraId="0C81817E" w14:textId="77777777" w:rsidR="00097C63" w:rsidRDefault="00FB6D14">
            <w:pPr>
              <w:jc w:val="center"/>
              <w:rPr>
                <w:rFonts w:ascii="Times New Roman" w:hAnsi="Times New Roman"/>
                <w:sz w:val="16"/>
                <w:szCs w:val="16"/>
              </w:rPr>
            </w:pPr>
            <w:r>
              <w:rPr>
                <w:rFonts w:ascii="Times New Roman" w:hAnsi="Times New Roman"/>
                <w:sz w:val="16"/>
                <w:szCs w:val="16"/>
              </w:rPr>
              <w:t>4.59</w:t>
            </w:r>
          </w:p>
        </w:tc>
        <w:tc>
          <w:tcPr>
            <w:tcW w:w="485" w:type="pct"/>
            <w:gridSpan w:val="2"/>
            <w:tcBorders>
              <w:top w:val="single" w:sz="4" w:space="0" w:color="auto"/>
              <w:left w:val="nil"/>
              <w:right w:val="nil"/>
            </w:tcBorders>
            <w:vAlign w:val="center"/>
          </w:tcPr>
          <w:p w14:paraId="5F5170D3" w14:textId="77777777" w:rsidR="00097C63" w:rsidRDefault="00FB6D14">
            <w:pPr>
              <w:jc w:val="center"/>
              <w:rPr>
                <w:rFonts w:ascii="Times New Roman" w:hAnsi="Times New Roman"/>
                <w:sz w:val="16"/>
                <w:szCs w:val="16"/>
              </w:rPr>
            </w:pPr>
            <w:r>
              <w:rPr>
                <w:rFonts w:ascii="Times New Roman" w:hAnsi="Times New Roman"/>
                <w:sz w:val="16"/>
                <w:szCs w:val="16"/>
              </w:rPr>
              <w:t>39.22</w:t>
            </w:r>
          </w:p>
        </w:tc>
        <w:tc>
          <w:tcPr>
            <w:tcW w:w="483" w:type="pct"/>
            <w:tcBorders>
              <w:top w:val="single" w:sz="4" w:space="0" w:color="auto"/>
              <w:left w:val="nil"/>
              <w:right w:val="nil"/>
            </w:tcBorders>
            <w:vAlign w:val="center"/>
          </w:tcPr>
          <w:p w14:paraId="52623561" w14:textId="77777777" w:rsidR="00097C63" w:rsidRDefault="00FB6D14">
            <w:pPr>
              <w:jc w:val="center"/>
              <w:rPr>
                <w:rFonts w:ascii="Times New Roman" w:hAnsi="Times New Roman"/>
                <w:sz w:val="16"/>
                <w:szCs w:val="16"/>
              </w:rPr>
            </w:pPr>
            <w:r>
              <w:rPr>
                <w:rFonts w:ascii="Times New Roman" w:hAnsi="Times New Roman"/>
                <w:sz w:val="16"/>
                <w:szCs w:val="16"/>
              </w:rPr>
              <w:t>9.81</w:t>
            </w:r>
          </w:p>
        </w:tc>
        <w:tc>
          <w:tcPr>
            <w:tcW w:w="419" w:type="pct"/>
            <w:tcBorders>
              <w:top w:val="single" w:sz="4" w:space="0" w:color="auto"/>
              <w:left w:val="nil"/>
              <w:right w:val="nil"/>
            </w:tcBorders>
            <w:vAlign w:val="center"/>
          </w:tcPr>
          <w:p w14:paraId="1CA6A534" w14:textId="77777777" w:rsidR="00097C63" w:rsidRDefault="00FB6D14">
            <w:pPr>
              <w:jc w:val="center"/>
              <w:rPr>
                <w:rFonts w:ascii="Times New Roman" w:hAnsi="Times New Roman"/>
                <w:sz w:val="16"/>
                <w:szCs w:val="16"/>
              </w:rPr>
            </w:pPr>
            <w:r>
              <w:rPr>
                <w:rFonts w:ascii="Times New Roman" w:hAnsi="Times New Roman"/>
                <w:sz w:val="16"/>
                <w:szCs w:val="16"/>
              </w:rPr>
              <w:t>9.81</w:t>
            </w:r>
          </w:p>
        </w:tc>
        <w:tc>
          <w:tcPr>
            <w:tcW w:w="326" w:type="pct"/>
            <w:tcBorders>
              <w:top w:val="single" w:sz="4" w:space="0" w:color="auto"/>
              <w:left w:val="nil"/>
            </w:tcBorders>
            <w:vAlign w:val="center"/>
          </w:tcPr>
          <w:p w14:paraId="401C82FF" w14:textId="77777777" w:rsidR="00097C63" w:rsidRDefault="00FB6D14">
            <w:pPr>
              <w:jc w:val="center"/>
              <w:rPr>
                <w:rFonts w:ascii="Times New Roman" w:hAnsi="Times New Roman"/>
                <w:sz w:val="16"/>
                <w:szCs w:val="16"/>
              </w:rPr>
            </w:pPr>
            <w:r>
              <w:rPr>
                <w:rFonts w:ascii="Times New Roman" w:hAnsi="Times New Roman"/>
                <w:sz w:val="16"/>
                <w:szCs w:val="16"/>
              </w:rPr>
              <w:t>29.33</w:t>
            </w:r>
          </w:p>
        </w:tc>
      </w:tr>
      <w:tr w:rsidR="00097C63" w14:paraId="69CBAF03" w14:textId="77777777">
        <w:trPr>
          <w:gridAfter w:val="1"/>
          <w:wAfter w:w="7" w:type="pct"/>
          <w:jc w:val="center"/>
        </w:trPr>
        <w:tc>
          <w:tcPr>
            <w:tcW w:w="860" w:type="pct"/>
            <w:tcBorders>
              <w:right w:val="nil"/>
            </w:tcBorders>
          </w:tcPr>
          <w:p w14:paraId="7392C308" w14:textId="77777777" w:rsidR="00097C63" w:rsidRDefault="00FB6D14">
            <w:pPr>
              <w:jc w:val="center"/>
              <w:rPr>
                <w:rFonts w:ascii="Times New Roman" w:hAnsi="Times New Roman"/>
                <w:sz w:val="16"/>
                <w:szCs w:val="16"/>
              </w:rPr>
            </w:pPr>
            <w:r>
              <w:rPr>
                <w:rFonts w:ascii="Times New Roman" w:hAnsi="Times New Roman"/>
                <w:sz w:val="16"/>
                <w:szCs w:val="16"/>
              </w:rPr>
              <w:t>0.7</w:t>
            </w:r>
          </w:p>
        </w:tc>
        <w:tc>
          <w:tcPr>
            <w:tcW w:w="479" w:type="pct"/>
            <w:tcBorders>
              <w:left w:val="nil"/>
              <w:right w:val="nil"/>
            </w:tcBorders>
            <w:vAlign w:val="center"/>
          </w:tcPr>
          <w:p w14:paraId="6050ED8F" w14:textId="77777777" w:rsidR="00097C63" w:rsidRDefault="00FB6D14">
            <w:pPr>
              <w:jc w:val="center"/>
              <w:rPr>
                <w:rFonts w:ascii="Times New Roman" w:hAnsi="Times New Roman"/>
                <w:sz w:val="16"/>
                <w:szCs w:val="16"/>
              </w:rPr>
            </w:pPr>
            <w:r>
              <w:rPr>
                <w:rFonts w:ascii="Times New Roman" w:hAnsi="Times New Roman"/>
                <w:sz w:val="16"/>
                <w:szCs w:val="16"/>
              </w:rPr>
              <w:t>15.32</w:t>
            </w:r>
          </w:p>
        </w:tc>
        <w:tc>
          <w:tcPr>
            <w:tcW w:w="484" w:type="pct"/>
            <w:gridSpan w:val="2"/>
            <w:tcBorders>
              <w:left w:val="nil"/>
              <w:right w:val="nil"/>
            </w:tcBorders>
            <w:vAlign w:val="center"/>
          </w:tcPr>
          <w:p w14:paraId="1BB67745" w14:textId="77777777" w:rsidR="00097C63" w:rsidRDefault="00FB6D14">
            <w:pPr>
              <w:jc w:val="center"/>
              <w:rPr>
                <w:rFonts w:ascii="Times New Roman" w:hAnsi="Times New Roman"/>
                <w:sz w:val="16"/>
                <w:szCs w:val="16"/>
              </w:rPr>
            </w:pPr>
            <w:r>
              <w:rPr>
                <w:rFonts w:ascii="Times New Roman" w:hAnsi="Times New Roman"/>
                <w:sz w:val="16"/>
                <w:szCs w:val="16"/>
              </w:rPr>
              <w:t>4.25</w:t>
            </w:r>
          </w:p>
        </w:tc>
        <w:tc>
          <w:tcPr>
            <w:tcW w:w="486" w:type="pct"/>
            <w:tcBorders>
              <w:left w:val="nil"/>
              <w:right w:val="nil"/>
            </w:tcBorders>
            <w:vAlign w:val="center"/>
          </w:tcPr>
          <w:p w14:paraId="420A5042" w14:textId="77777777" w:rsidR="00097C63" w:rsidRDefault="00FB6D14">
            <w:pPr>
              <w:jc w:val="center"/>
              <w:rPr>
                <w:rFonts w:ascii="Times New Roman" w:hAnsi="Times New Roman"/>
                <w:sz w:val="16"/>
                <w:szCs w:val="16"/>
              </w:rPr>
            </w:pPr>
            <w:r>
              <w:rPr>
                <w:rFonts w:ascii="Times New Roman" w:hAnsi="Times New Roman"/>
                <w:sz w:val="16"/>
                <w:szCs w:val="16"/>
              </w:rPr>
              <w:t>36.54</w:t>
            </w:r>
          </w:p>
        </w:tc>
        <w:tc>
          <w:tcPr>
            <w:tcW w:w="485" w:type="pct"/>
            <w:tcBorders>
              <w:left w:val="nil"/>
              <w:right w:val="nil"/>
            </w:tcBorders>
            <w:vAlign w:val="center"/>
          </w:tcPr>
          <w:p w14:paraId="20B5C4AD" w14:textId="77777777" w:rsidR="00097C63" w:rsidRDefault="00FB6D14">
            <w:pPr>
              <w:jc w:val="center"/>
              <w:rPr>
                <w:rFonts w:ascii="Times New Roman" w:hAnsi="Times New Roman"/>
                <w:sz w:val="16"/>
                <w:szCs w:val="16"/>
              </w:rPr>
            </w:pPr>
            <w:r>
              <w:rPr>
                <w:rFonts w:ascii="Times New Roman" w:hAnsi="Times New Roman"/>
                <w:sz w:val="16"/>
                <w:szCs w:val="16"/>
              </w:rPr>
              <w:t>16.13</w:t>
            </w:r>
          </w:p>
        </w:tc>
        <w:tc>
          <w:tcPr>
            <w:tcW w:w="485" w:type="pct"/>
            <w:tcBorders>
              <w:left w:val="nil"/>
              <w:right w:val="nil"/>
            </w:tcBorders>
            <w:vAlign w:val="center"/>
          </w:tcPr>
          <w:p w14:paraId="7846EC5F" w14:textId="77777777" w:rsidR="00097C63" w:rsidRDefault="00FB6D14">
            <w:pPr>
              <w:jc w:val="center"/>
              <w:rPr>
                <w:rFonts w:ascii="Times New Roman" w:hAnsi="Times New Roman"/>
                <w:sz w:val="16"/>
                <w:szCs w:val="16"/>
              </w:rPr>
            </w:pPr>
            <w:r>
              <w:rPr>
                <w:rFonts w:ascii="Times New Roman" w:hAnsi="Times New Roman"/>
                <w:sz w:val="16"/>
                <w:szCs w:val="16"/>
              </w:rPr>
              <w:t>4.00</w:t>
            </w:r>
          </w:p>
        </w:tc>
        <w:tc>
          <w:tcPr>
            <w:tcW w:w="485" w:type="pct"/>
            <w:gridSpan w:val="2"/>
            <w:tcBorders>
              <w:left w:val="nil"/>
              <w:right w:val="nil"/>
            </w:tcBorders>
            <w:vAlign w:val="center"/>
          </w:tcPr>
          <w:p w14:paraId="53E6FC4F" w14:textId="77777777" w:rsidR="00097C63" w:rsidRDefault="00FB6D14">
            <w:pPr>
              <w:jc w:val="center"/>
              <w:rPr>
                <w:rFonts w:ascii="Times New Roman" w:hAnsi="Times New Roman"/>
                <w:sz w:val="16"/>
                <w:szCs w:val="16"/>
              </w:rPr>
            </w:pPr>
            <w:r>
              <w:rPr>
                <w:rFonts w:ascii="Times New Roman" w:hAnsi="Times New Roman"/>
                <w:sz w:val="16"/>
                <w:szCs w:val="16"/>
              </w:rPr>
              <w:t>37.15</w:t>
            </w:r>
          </w:p>
        </w:tc>
        <w:tc>
          <w:tcPr>
            <w:tcW w:w="483" w:type="pct"/>
            <w:tcBorders>
              <w:left w:val="nil"/>
              <w:right w:val="nil"/>
            </w:tcBorders>
            <w:vAlign w:val="center"/>
          </w:tcPr>
          <w:p w14:paraId="5F6A5005" w14:textId="77777777" w:rsidR="00097C63" w:rsidRDefault="00FB6D14">
            <w:pPr>
              <w:jc w:val="center"/>
              <w:rPr>
                <w:rFonts w:ascii="Times New Roman" w:hAnsi="Times New Roman"/>
                <w:sz w:val="16"/>
                <w:szCs w:val="16"/>
              </w:rPr>
            </w:pPr>
            <w:r>
              <w:rPr>
                <w:rFonts w:ascii="Times New Roman" w:hAnsi="Times New Roman"/>
                <w:sz w:val="16"/>
                <w:szCs w:val="16"/>
              </w:rPr>
              <w:t>9.89</w:t>
            </w:r>
          </w:p>
        </w:tc>
        <w:tc>
          <w:tcPr>
            <w:tcW w:w="419" w:type="pct"/>
            <w:tcBorders>
              <w:left w:val="nil"/>
              <w:right w:val="nil"/>
            </w:tcBorders>
            <w:vAlign w:val="center"/>
          </w:tcPr>
          <w:p w14:paraId="0C8CAA2F" w14:textId="77777777" w:rsidR="00097C63" w:rsidRDefault="00FB6D14">
            <w:pPr>
              <w:jc w:val="center"/>
              <w:rPr>
                <w:rFonts w:ascii="Times New Roman" w:hAnsi="Times New Roman"/>
                <w:sz w:val="16"/>
                <w:szCs w:val="16"/>
              </w:rPr>
            </w:pPr>
            <w:r>
              <w:rPr>
                <w:rFonts w:ascii="Times New Roman" w:hAnsi="Times New Roman"/>
                <w:sz w:val="16"/>
                <w:szCs w:val="16"/>
              </w:rPr>
              <w:t>9.89</w:t>
            </w:r>
          </w:p>
        </w:tc>
        <w:tc>
          <w:tcPr>
            <w:tcW w:w="326" w:type="pct"/>
            <w:tcBorders>
              <w:left w:val="nil"/>
            </w:tcBorders>
            <w:vAlign w:val="center"/>
          </w:tcPr>
          <w:p w14:paraId="0B6982CD" w14:textId="77777777" w:rsidR="00097C63" w:rsidRDefault="00FB6D14">
            <w:pPr>
              <w:jc w:val="center"/>
              <w:rPr>
                <w:rFonts w:ascii="Times New Roman" w:hAnsi="Times New Roman"/>
                <w:sz w:val="16"/>
                <w:szCs w:val="16"/>
              </w:rPr>
            </w:pPr>
            <w:r>
              <w:rPr>
                <w:rFonts w:ascii="Times New Roman" w:hAnsi="Times New Roman"/>
                <w:sz w:val="16"/>
                <w:szCs w:val="16"/>
              </w:rPr>
              <w:t>27.97</w:t>
            </w:r>
          </w:p>
        </w:tc>
      </w:tr>
      <w:tr w:rsidR="00097C63" w14:paraId="183964EF" w14:textId="77777777">
        <w:trPr>
          <w:gridAfter w:val="1"/>
          <w:wAfter w:w="7" w:type="pct"/>
          <w:jc w:val="center"/>
        </w:trPr>
        <w:tc>
          <w:tcPr>
            <w:tcW w:w="860" w:type="pct"/>
            <w:tcBorders>
              <w:right w:val="nil"/>
            </w:tcBorders>
          </w:tcPr>
          <w:p w14:paraId="4605FD4D" w14:textId="77777777" w:rsidR="00097C63" w:rsidRDefault="00FB6D14">
            <w:pPr>
              <w:jc w:val="center"/>
              <w:rPr>
                <w:rFonts w:ascii="Times New Roman" w:hAnsi="Times New Roman"/>
                <w:sz w:val="16"/>
                <w:szCs w:val="16"/>
              </w:rPr>
            </w:pPr>
            <w:r>
              <w:rPr>
                <w:rFonts w:ascii="Times New Roman" w:hAnsi="Times New Roman"/>
                <w:sz w:val="16"/>
                <w:szCs w:val="16"/>
              </w:rPr>
              <w:t>0.8</w:t>
            </w:r>
          </w:p>
        </w:tc>
        <w:tc>
          <w:tcPr>
            <w:tcW w:w="479" w:type="pct"/>
            <w:tcBorders>
              <w:left w:val="nil"/>
              <w:right w:val="nil"/>
            </w:tcBorders>
            <w:vAlign w:val="center"/>
          </w:tcPr>
          <w:p w14:paraId="6ED34C6F" w14:textId="77777777" w:rsidR="00097C63" w:rsidRDefault="00FB6D14">
            <w:pPr>
              <w:jc w:val="center"/>
              <w:rPr>
                <w:rFonts w:ascii="Times New Roman" w:hAnsi="Times New Roman"/>
                <w:sz w:val="16"/>
                <w:szCs w:val="16"/>
              </w:rPr>
            </w:pPr>
            <w:r>
              <w:rPr>
                <w:rFonts w:ascii="Times New Roman" w:hAnsi="Times New Roman"/>
                <w:sz w:val="16"/>
                <w:szCs w:val="16"/>
              </w:rPr>
              <w:t>20.06</w:t>
            </w:r>
          </w:p>
        </w:tc>
        <w:tc>
          <w:tcPr>
            <w:tcW w:w="484" w:type="pct"/>
            <w:gridSpan w:val="2"/>
            <w:tcBorders>
              <w:left w:val="nil"/>
              <w:right w:val="nil"/>
            </w:tcBorders>
            <w:vAlign w:val="center"/>
          </w:tcPr>
          <w:p w14:paraId="3B2839E2" w14:textId="77777777" w:rsidR="00097C63" w:rsidRDefault="00FB6D14">
            <w:pPr>
              <w:jc w:val="center"/>
              <w:rPr>
                <w:rFonts w:ascii="Times New Roman" w:hAnsi="Times New Roman"/>
                <w:sz w:val="16"/>
                <w:szCs w:val="16"/>
              </w:rPr>
            </w:pPr>
            <w:r>
              <w:rPr>
                <w:rFonts w:ascii="Times New Roman" w:hAnsi="Times New Roman"/>
                <w:sz w:val="16"/>
                <w:szCs w:val="16"/>
              </w:rPr>
              <w:t>4.01</w:t>
            </w:r>
          </w:p>
        </w:tc>
        <w:tc>
          <w:tcPr>
            <w:tcW w:w="486" w:type="pct"/>
            <w:tcBorders>
              <w:left w:val="nil"/>
              <w:right w:val="nil"/>
            </w:tcBorders>
            <w:vAlign w:val="center"/>
          </w:tcPr>
          <w:p w14:paraId="11415AD0" w14:textId="77777777" w:rsidR="00097C63" w:rsidRDefault="00FB6D14">
            <w:pPr>
              <w:jc w:val="center"/>
              <w:rPr>
                <w:rFonts w:ascii="Times New Roman" w:hAnsi="Times New Roman"/>
                <w:sz w:val="16"/>
                <w:szCs w:val="16"/>
              </w:rPr>
            </w:pPr>
            <w:r>
              <w:rPr>
                <w:rFonts w:ascii="Times New Roman" w:hAnsi="Times New Roman"/>
                <w:sz w:val="16"/>
                <w:szCs w:val="16"/>
              </w:rPr>
              <w:t>36.39</w:t>
            </w:r>
          </w:p>
        </w:tc>
        <w:tc>
          <w:tcPr>
            <w:tcW w:w="485" w:type="pct"/>
            <w:tcBorders>
              <w:left w:val="nil"/>
              <w:right w:val="nil"/>
            </w:tcBorders>
            <w:vAlign w:val="center"/>
          </w:tcPr>
          <w:p w14:paraId="13458A86" w14:textId="77777777" w:rsidR="00097C63" w:rsidRDefault="00FB6D14">
            <w:pPr>
              <w:jc w:val="center"/>
              <w:rPr>
                <w:rFonts w:ascii="Times New Roman" w:hAnsi="Times New Roman"/>
                <w:sz w:val="16"/>
                <w:szCs w:val="16"/>
              </w:rPr>
            </w:pPr>
            <w:r>
              <w:rPr>
                <w:rFonts w:ascii="Times New Roman" w:hAnsi="Times New Roman"/>
                <w:sz w:val="16"/>
                <w:szCs w:val="16"/>
              </w:rPr>
              <w:t>17.99</w:t>
            </w:r>
          </w:p>
        </w:tc>
        <w:tc>
          <w:tcPr>
            <w:tcW w:w="485" w:type="pct"/>
            <w:tcBorders>
              <w:left w:val="nil"/>
              <w:right w:val="nil"/>
            </w:tcBorders>
            <w:vAlign w:val="center"/>
          </w:tcPr>
          <w:p w14:paraId="6DDFE98E" w14:textId="77777777" w:rsidR="00097C63" w:rsidRDefault="00FB6D14">
            <w:pPr>
              <w:jc w:val="center"/>
              <w:rPr>
                <w:rFonts w:ascii="Times New Roman" w:hAnsi="Times New Roman"/>
                <w:sz w:val="16"/>
                <w:szCs w:val="16"/>
              </w:rPr>
            </w:pPr>
            <w:r>
              <w:rPr>
                <w:rFonts w:ascii="Times New Roman" w:hAnsi="Times New Roman"/>
                <w:sz w:val="16"/>
                <w:szCs w:val="16"/>
              </w:rPr>
              <w:t>3.37</w:t>
            </w:r>
          </w:p>
        </w:tc>
        <w:tc>
          <w:tcPr>
            <w:tcW w:w="485" w:type="pct"/>
            <w:gridSpan w:val="2"/>
            <w:tcBorders>
              <w:left w:val="nil"/>
              <w:right w:val="nil"/>
            </w:tcBorders>
            <w:vAlign w:val="center"/>
          </w:tcPr>
          <w:p w14:paraId="420FD33D" w14:textId="77777777" w:rsidR="00097C63" w:rsidRDefault="00FB6D14">
            <w:pPr>
              <w:jc w:val="center"/>
              <w:rPr>
                <w:rFonts w:ascii="Times New Roman" w:hAnsi="Times New Roman"/>
                <w:sz w:val="16"/>
                <w:szCs w:val="16"/>
              </w:rPr>
            </w:pPr>
            <w:r>
              <w:rPr>
                <w:rFonts w:ascii="Times New Roman" w:hAnsi="Times New Roman"/>
                <w:sz w:val="16"/>
                <w:szCs w:val="16"/>
              </w:rPr>
              <w:t>36.34</w:t>
            </w:r>
          </w:p>
        </w:tc>
        <w:tc>
          <w:tcPr>
            <w:tcW w:w="483" w:type="pct"/>
            <w:tcBorders>
              <w:left w:val="nil"/>
              <w:right w:val="nil"/>
            </w:tcBorders>
            <w:vAlign w:val="center"/>
          </w:tcPr>
          <w:p w14:paraId="74279F4D" w14:textId="77777777" w:rsidR="00097C63" w:rsidRDefault="00FB6D14">
            <w:pPr>
              <w:jc w:val="center"/>
              <w:rPr>
                <w:rFonts w:ascii="Times New Roman" w:hAnsi="Times New Roman"/>
                <w:sz w:val="16"/>
                <w:szCs w:val="16"/>
              </w:rPr>
            </w:pPr>
            <w:r>
              <w:rPr>
                <w:rFonts w:ascii="Times New Roman" w:hAnsi="Times New Roman"/>
                <w:sz w:val="16"/>
                <w:szCs w:val="16"/>
              </w:rPr>
              <w:t>10.43</w:t>
            </w:r>
          </w:p>
        </w:tc>
        <w:tc>
          <w:tcPr>
            <w:tcW w:w="419" w:type="pct"/>
            <w:tcBorders>
              <w:left w:val="nil"/>
              <w:right w:val="nil"/>
            </w:tcBorders>
            <w:vAlign w:val="center"/>
          </w:tcPr>
          <w:p w14:paraId="2F174C81" w14:textId="77777777" w:rsidR="00097C63" w:rsidRDefault="00FB6D14">
            <w:pPr>
              <w:jc w:val="center"/>
              <w:rPr>
                <w:rFonts w:ascii="Times New Roman" w:hAnsi="Times New Roman"/>
                <w:sz w:val="16"/>
                <w:szCs w:val="16"/>
              </w:rPr>
            </w:pPr>
            <w:r>
              <w:rPr>
                <w:rFonts w:ascii="Times New Roman" w:hAnsi="Times New Roman"/>
                <w:sz w:val="16"/>
                <w:szCs w:val="16"/>
              </w:rPr>
              <w:t>10.43</w:t>
            </w:r>
          </w:p>
        </w:tc>
        <w:tc>
          <w:tcPr>
            <w:tcW w:w="326" w:type="pct"/>
            <w:tcBorders>
              <w:left w:val="nil"/>
            </w:tcBorders>
            <w:vAlign w:val="center"/>
          </w:tcPr>
          <w:p w14:paraId="2BDEAA56" w14:textId="77777777" w:rsidR="00097C63" w:rsidRDefault="00FB6D14">
            <w:pPr>
              <w:jc w:val="center"/>
              <w:rPr>
                <w:rFonts w:ascii="Times New Roman" w:hAnsi="Times New Roman"/>
                <w:sz w:val="16"/>
                <w:szCs w:val="16"/>
              </w:rPr>
            </w:pPr>
            <w:r>
              <w:rPr>
                <w:rFonts w:ascii="Times New Roman" w:hAnsi="Times New Roman"/>
                <w:sz w:val="16"/>
                <w:szCs w:val="16"/>
              </w:rPr>
              <w:t>27.85</w:t>
            </w:r>
          </w:p>
        </w:tc>
      </w:tr>
      <w:tr w:rsidR="00097C63" w14:paraId="42FBD4F8" w14:textId="77777777">
        <w:trPr>
          <w:gridAfter w:val="1"/>
          <w:wAfter w:w="7" w:type="pct"/>
          <w:jc w:val="center"/>
        </w:trPr>
        <w:tc>
          <w:tcPr>
            <w:tcW w:w="860" w:type="pct"/>
            <w:tcBorders>
              <w:right w:val="nil"/>
            </w:tcBorders>
          </w:tcPr>
          <w:p w14:paraId="6CE1E76F" w14:textId="77777777" w:rsidR="00097C63" w:rsidRDefault="00FB6D14">
            <w:pPr>
              <w:jc w:val="center"/>
              <w:rPr>
                <w:rFonts w:ascii="Times New Roman" w:hAnsi="Times New Roman"/>
                <w:sz w:val="16"/>
                <w:szCs w:val="16"/>
              </w:rPr>
            </w:pPr>
            <w:r>
              <w:rPr>
                <w:rFonts w:ascii="Times New Roman" w:hAnsi="Times New Roman"/>
                <w:sz w:val="16"/>
                <w:szCs w:val="16"/>
              </w:rPr>
              <w:t>0.9</w:t>
            </w:r>
          </w:p>
        </w:tc>
        <w:tc>
          <w:tcPr>
            <w:tcW w:w="479" w:type="pct"/>
            <w:tcBorders>
              <w:left w:val="nil"/>
              <w:right w:val="nil"/>
            </w:tcBorders>
            <w:vAlign w:val="center"/>
          </w:tcPr>
          <w:p w14:paraId="31787986" w14:textId="77777777" w:rsidR="00097C63" w:rsidRDefault="00FB6D14">
            <w:pPr>
              <w:jc w:val="center"/>
              <w:rPr>
                <w:rFonts w:ascii="Times New Roman" w:hAnsi="Times New Roman"/>
                <w:sz w:val="16"/>
                <w:szCs w:val="16"/>
              </w:rPr>
            </w:pPr>
            <w:r>
              <w:rPr>
                <w:rFonts w:ascii="Times New Roman" w:hAnsi="Times New Roman"/>
                <w:sz w:val="16"/>
                <w:szCs w:val="16"/>
              </w:rPr>
              <w:t>21.44</w:t>
            </w:r>
          </w:p>
        </w:tc>
        <w:tc>
          <w:tcPr>
            <w:tcW w:w="484" w:type="pct"/>
            <w:gridSpan w:val="2"/>
            <w:tcBorders>
              <w:left w:val="nil"/>
              <w:right w:val="nil"/>
            </w:tcBorders>
            <w:vAlign w:val="center"/>
          </w:tcPr>
          <w:p w14:paraId="75DAC83E" w14:textId="77777777" w:rsidR="00097C63" w:rsidRDefault="00FB6D14">
            <w:pPr>
              <w:jc w:val="center"/>
              <w:rPr>
                <w:rFonts w:ascii="Times New Roman" w:hAnsi="Times New Roman"/>
                <w:sz w:val="16"/>
                <w:szCs w:val="16"/>
              </w:rPr>
            </w:pPr>
            <w:r>
              <w:rPr>
                <w:rFonts w:ascii="Times New Roman" w:hAnsi="Times New Roman"/>
                <w:sz w:val="16"/>
                <w:szCs w:val="16"/>
              </w:rPr>
              <w:t>1.62</w:t>
            </w:r>
          </w:p>
        </w:tc>
        <w:tc>
          <w:tcPr>
            <w:tcW w:w="486" w:type="pct"/>
            <w:tcBorders>
              <w:left w:val="nil"/>
              <w:right w:val="nil"/>
            </w:tcBorders>
            <w:vAlign w:val="center"/>
          </w:tcPr>
          <w:p w14:paraId="6540E610" w14:textId="77777777" w:rsidR="00097C63" w:rsidRDefault="00FB6D14">
            <w:pPr>
              <w:jc w:val="center"/>
              <w:rPr>
                <w:rFonts w:ascii="Times New Roman" w:hAnsi="Times New Roman"/>
                <w:sz w:val="16"/>
                <w:szCs w:val="16"/>
              </w:rPr>
            </w:pPr>
            <w:r>
              <w:rPr>
                <w:rFonts w:ascii="Times New Roman" w:hAnsi="Times New Roman"/>
                <w:sz w:val="16"/>
                <w:szCs w:val="16"/>
              </w:rPr>
              <w:t>16.98</w:t>
            </w:r>
          </w:p>
        </w:tc>
        <w:tc>
          <w:tcPr>
            <w:tcW w:w="485" w:type="pct"/>
            <w:tcBorders>
              <w:left w:val="nil"/>
              <w:right w:val="nil"/>
            </w:tcBorders>
            <w:vAlign w:val="center"/>
          </w:tcPr>
          <w:p w14:paraId="05C6D141" w14:textId="77777777" w:rsidR="00097C63" w:rsidRDefault="00FB6D14">
            <w:pPr>
              <w:jc w:val="center"/>
              <w:rPr>
                <w:rFonts w:ascii="Times New Roman" w:hAnsi="Times New Roman"/>
                <w:sz w:val="16"/>
                <w:szCs w:val="16"/>
              </w:rPr>
            </w:pPr>
            <w:r>
              <w:rPr>
                <w:rFonts w:ascii="Times New Roman" w:hAnsi="Times New Roman"/>
                <w:sz w:val="16"/>
                <w:szCs w:val="16"/>
              </w:rPr>
              <w:t>19.08</w:t>
            </w:r>
          </w:p>
        </w:tc>
        <w:tc>
          <w:tcPr>
            <w:tcW w:w="485" w:type="pct"/>
            <w:tcBorders>
              <w:left w:val="nil"/>
              <w:right w:val="nil"/>
            </w:tcBorders>
            <w:vAlign w:val="center"/>
          </w:tcPr>
          <w:p w14:paraId="37564B22" w14:textId="77777777" w:rsidR="00097C63" w:rsidRDefault="00FB6D14">
            <w:pPr>
              <w:jc w:val="center"/>
              <w:rPr>
                <w:rFonts w:ascii="Times New Roman" w:hAnsi="Times New Roman"/>
                <w:sz w:val="16"/>
                <w:szCs w:val="16"/>
              </w:rPr>
            </w:pPr>
            <w:r>
              <w:rPr>
                <w:rFonts w:ascii="Times New Roman" w:hAnsi="Times New Roman"/>
                <w:sz w:val="16"/>
                <w:szCs w:val="16"/>
              </w:rPr>
              <w:t>2.93</w:t>
            </w:r>
          </w:p>
        </w:tc>
        <w:tc>
          <w:tcPr>
            <w:tcW w:w="485" w:type="pct"/>
            <w:gridSpan w:val="2"/>
            <w:tcBorders>
              <w:left w:val="nil"/>
              <w:right w:val="nil"/>
            </w:tcBorders>
            <w:vAlign w:val="center"/>
          </w:tcPr>
          <w:p w14:paraId="048D2AC0" w14:textId="77777777" w:rsidR="00097C63" w:rsidRDefault="00FB6D14">
            <w:pPr>
              <w:jc w:val="center"/>
              <w:rPr>
                <w:rFonts w:ascii="Times New Roman" w:hAnsi="Times New Roman"/>
                <w:sz w:val="16"/>
                <w:szCs w:val="16"/>
              </w:rPr>
            </w:pPr>
            <w:r>
              <w:rPr>
                <w:rFonts w:ascii="Times New Roman" w:hAnsi="Times New Roman"/>
                <w:sz w:val="16"/>
                <w:szCs w:val="16"/>
              </w:rPr>
              <w:t>35.87</w:t>
            </w:r>
          </w:p>
        </w:tc>
        <w:tc>
          <w:tcPr>
            <w:tcW w:w="483" w:type="pct"/>
            <w:tcBorders>
              <w:left w:val="nil"/>
              <w:right w:val="nil"/>
            </w:tcBorders>
            <w:vAlign w:val="center"/>
          </w:tcPr>
          <w:p w14:paraId="36ADC198" w14:textId="77777777" w:rsidR="00097C63" w:rsidRDefault="00FB6D14">
            <w:pPr>
              <w:jc w:val="center"/>
              <w:rPr>
                <w:rFonts w:ascii="Times New Roman" w:hAnsi="Times New Roman"/>
                <w:sz w:val="16"/>
                <w:szCs w:val="16"/>
              </w:rPr>
            </w:pPr>
            <w:r>
              <w:rPr>
                <w:rFonts w:ascii="Times New Roman" w:hAnsi="Times New Roman"/>
                <w:sz w:val="16"/>
                <w:szCs w:val="16"/>
              </w:rPr>
              <w:t>9.97</w:t>
            </w:r>
          </w:p>
        </w:tc>
        <w:tc>
          <w:tcPr>
            <w:tcW w:w="419" w:type="pct"/>
            <w:tcBorders>
              <w:left w:val="nil"/>
              <w:right w:val="nil"/>
            </w:tcBorders>
            <w:vAlign w:val="center"/>
          </w:tcPr>
          <w:p w14:paraId="42E8C6C0" w14:textId="77777777" w:rsidR="00097C63" w:rsidRDefault="00FB6D14">
            <w:pPr>
              <w:jc w:val="center"/>
              <w:rPr>
                <w:rFonts w:ascii="Times New Roman" w:hAnsi="Times New Roman"/>
                <w:sz w:val="16"/>
                <w:szCs w:val="16"/>
              </w:rPr>
            </w:pPr>
            <w:r>
              <w:rPr>
                <w:rFonts w:ascii="Times New Roman" w:hAnsi="Times New Roman"/>
                <w:sz w:val="16"/>
                <w:szCs w:val="16"/>
              </w:rPr>
              <w:t>9.97</w:t>
            </w:r>
          </w:p>
        </w:tc>
        <w:tc>
          <w:tcPr>
            <w:tcW w:w="326" w:type="pct"/>
            <w:tcBorders>
              <w:left w:val="nil"/>
            </w:tcBorders>
            <w:vAlign w:val="center"/>
          </w:tcPr>
          <w:p w14:paraId="771D881E" w14:textId="77777777" w:rsidR="00097C63" w:rsidRDefault="00FB6D14">
            <w:pPr>
              <w:jc w:val="center"/>
              <w:rPr>
                <w:rFonts w:ascii="Times New Roman" w:hAnsi="Times New Roman"/>
                <w:sz w:val="16"/>
                <w:szCs w:val="16"/>
              </w:rPr>
            </w:pPr>
            <w:r>
              <w:rPr>
                <w:rFonts w:ascii="Times New Roman" w:hAnsi="Times New Roman"/>
                <w:sz w:val="16"/>
                <w:szCs w:val="16"/>
              </w:rPr>
              <w:t>26.38</w:t>
            </w:r>
          </w:p>
        </w:tc>
      </w:tr>
      <w:tr w:rsidR="00097C63" w14:paraId="019602A6" w14:textId="77777777">
        <w:trPr>
          <w:gridAfter w:val="1"/>
          <w:wAfter w:w="7" w:type="pct"/>
          <w:jc w:val="center"/>
        </w:trPr>
        <w:tc>
          <w:tcPr>
            <w:tcW w:w="860" w:type="pct"/>
            <w:tcBorders>
              <w:bottom w:val="single" w:sz="12" w:space="0" w:color="auto"/>
              <w:right w:val="nil"/>
            </w:tcBorders>
          </w:tcPr>
          <w:p w14:paraId="5226017D" w14:textId="77777777" w:rsidR="00097C63" w:rsidRDefault="00FB6D14">
            <w:pPr>
              <w:jc w:val="center"/>
              <w:rPr>
                <w:rFonts w:ascii="Times New Roman" w:hAnsi="Times New Roman"/>
                <w:sz w:val="16"/>
                <w:szCs w:val="16"/>
              </w:rPr>
            </w:pPr>
            <w:r>
              <w:rPr>
                <w:rFonts w:ascii="Times New Roman" w:hAnsi="Times New Roman"/>
                <w:sz w:val="16"/>
                <w:szCs w:val="16"/>
              </w:rPr>
              <w:t>1.0</w:t>
            </w:r>
          </w:p>
        </w:tc>
        <w:tc>
          <w:tcPr>
            <w:tcW w:w="479" w:type="pct"/>
            <w:tcBorders>
              <w:left w:val="nil"/>
              <w:bottom w:val="single" w:sz="12" w:space="0" w:color="auto"/>
              <w:right w:val="nil"/>
            </w:tcBorders>
            <w:vAlign w:val="center"/>
          </w:tcPr>
          <w:p w14:paraId="1713F89F" w14:textId="77777777" w:rsidR="00097C63" w:rsidRDefault="00FB6D14">
            <w:pPr>
              <w:jc w:val="center"/>
              <w:rPr>
                <w:rFonts w:ascii="Times New Roman" w:hAnsi="Times New Roman"/>
                <w:sz w:val="16"/>
                <w:szCs w:val="16"/>
              </w:rPr>
            </w:pPr>
            <w:r>
              <w:rPr>
                <w:rFonts w:ascii="Times New Roman" w:hAnsi="Times New Roman"/>
                <w:sz w:val="16"/>
                <w:szCs w:val="16"/>
              </w:rPr>
              <w:t>23.10</w:t>
            </w:r>
          </w:p>
        </w:tc>
        <w:tc>
          <w:tcPr>
            <w:tcW w:w="484" w:type="pct"/>
            <w:gridSpan w:val="2"/>
            <w:tcBorders>
              <w:left w:val="nil"/>
              <w:bottom w:val="single" w:sz="12" w:space="0" w:color="auto"/>
              <w:right w:val="nil"/>
            </w:tcBorders>
            <w:vAlign w:val="center"/>
          </w:tcPr>
          <w:p w14:paraId="7435A7ED" w14:textId="77777777" w:rsidR="00097C63" w:rsidRDefault="00FB6D14">
            <w:pPr>
              <w:jc w:val="center"/>
              <w:rPr>
                <w:rFonts w:ascii="Times New Roman" w:hAnsi="Times New Roman"/>
                <w:sz w:val="16"/>
                <w:szCs w:val="16"/>
              </w:rPr>
            </w:pPr>
            <w:r>
              <w:rPr>
                <w:rFonts w:ascii="Times New Roman" w:hAnsi="Times New Roman"/>
                <w:sz w:val="16"/>
                <w:szCs w:val="16"/>
              </w:rPr>
              <w:t>1.63</w:t>
            </w:r>
          </w:p>
        </w:tc>
        <w:tc>
          <w:tcPr>
            <w:tcW w:w="486" w:type="pct"/>
            <w:tcBorders>
              <w:left w:val="nil"/>
              <w:bottom w:val="single" w:sz="12" w:space="0" w:color="auto"/>
              <w:right w:val="nil"/>
            </w:tcBorders>
            <w:vAlign w:val="center"/>
          </w:tcPr>
          <w:p w14:paraId="497829D4" w14:textId="77777777" w:rsidR="00097C63" w:rsidRDefault="00FB6D14">
            <w:pPr>
              <w:jc w:val="center"/>
              <w:rPr>
                <w:rFonts w:ascii="Times New Roman" w:hAnsi="Times New Roman"/>
                <w:sz w:val="16"/>
                <w:szCs w:val="16"/>
              </w:rPr>
            </w:pPr>
            <w:r>
              <w:rPr>
                <w:rFonts w:ascii="Times New Roman" w:hAnsi="Times New Roman"/>
                <w:sz w:val="16"/>
                <w:szCs w:val="16"/>
              </w:rPr>
              <w:t>11.21</w:t>
            </w:r>
          </w:p>
        </w:tc>
        <w:tc>
          <w:tcPr>
            <w:tcW w:w="485" w:type="pct"/>
            <w:tcBorders>
              <w:left w:val="nil"/>
              <w:bottom w:val="single" w:sz="12" w:space="0" w:color="auto"/>
              <w:right w:val="nil"/>
            </w:tcBorders>
            <w:vAlign w:val="center"/>
          </w:tcPr>
          <w:p w14:paraId="21E9983D" w14:textId="77777777" w:rsidR="00097C63" w:rsidRDefault="00FB6D14">
            <w:pPr>
              <w:jc w:val="center"/>
              <w:rPr>
                <w:rFonts w:ascii="Times New Roman" w:hAnsi="Times New Roman"/>
                <w:sz w:val="16"/>
                <w:szCs w:val="16"/>
              </w:rPr>
            </w:pPr>
            <w:r>
              <w:rPr>
                <w:rFonts w:ascii="Times New Roman" w:hAnsi="Times New Roman"/>
                <w:sz w:val="16"/>
                <w:szCs w:val="16"/>
              </w:rPr>
              <w:t>21.22</w:t>
            </w:r>
          </w:p>
        </w:tc>
        <w:tc>
          <w:tcPr>
            <w:tcW w:w="485" w:type="pct"/>
            <w:tcBorders>
              <w:left w:val="nil"/>
              <w:bottom w:val="single" w:sz="12" w:space="0" w:color="auto"/>
              <w:right w:val="nil"/>
            </w:tcBorders>
            <w:vAlign w:val="center"/>
          </w:tcPr>
          <w:p w14:paraId="1982170E" w14:textId="77777777" w:rsidR="00097C63" w:rsidRDefault="00FB6D14">
            <w:pPr>
              <w:jc w:val="center"/>
              <w:rPr>
                <w:rFonts w:ascii="Times New Roman" w:hAnsi="Times New Roman"/>
                <w:sz w:val="16"/>
                <w:szCs w:val="16"/>
              </w:rPr>
            </w:pPr>
            <w:r>
              <w:rPr>
                <w:rFonts w:ascii="Times New Roman" w:hAnsi="Times New Roman"/>
                <w:sz w:val="16"/>
                <w:szCs w:val="16"/>
              </w:rPr>
              <w:t>1.66</w:t>
            </w:r>
          </w:p>
        </w:tc>
        <w:tc>
          <w:tcPr>
            <w:tcW w:w="485" w:type="pct"/>
            <w:gridSpan w:val="2"/>
            <w:tcBorders>
              <w:left w:val="nil"/>
              <w:bottom w:val="single" w:sz="12" w:space="0" w:color="auto"/>
              <w:right w:val="nil"/>
            </w:tcBorders>
            <w:vAlign w:val="center"/>
          </w:tcPr>
          <w:p w14:paraId="2EBB4516" w14:textId="77777777" w:rsidR="00097C63" w:rsidRDefault="00FB6D14">
            <w:pPr>
              <w:jc w:val="center"/>
              <w:rPr>
                <w:rFonts w:ascii="Times New Roman" w:hAnsi="Times New Roman"/>
                <w:sz w:val="16"/>
                <w:szCs w:val="16"/>
              </w:rPr>
            </w:pPr>
            <w:r>
              <w:rPr>
                <w:rFonts w:ascii="Times New Roman" w:hAnsi="Times New Roman"/>
                <w:sz w:val="16"/>
                <w:szCs w:val="16"/>
              </w:rPr>
              <w:t>11.29</w:t>
            </w:r>
          </w:p>
        </w:tc>
        <w:tc>
          <w:tcPr>
            <w:tcW w:w="483" w:type="pct"/>
            <w:tcBorders>
              <w:left w:val="nil"/>
              <w:bottom w:val="single" w:sz="12" w:space="0" w:color="auto"/>
              <w:right w:val="nil"/>
            </w:tcBorders>
            <w:vAlign w:val="center"/>
          </w:tcPr>
          <w:p w14:paraId="61561E07" w14:textId="77777777" w:rsidR="00097C63" w:rsidRDefault="00FB6D14">
            <w:pPr>
              <w:jc w:val="center"/>
              <w:rPr>
                <w:rFonts w:ascii="Times New Roman" w:hAnsi="Times New Roman"/>
                <w:sz w:val="16"/>
                <w:szCs w:val="16"/>
              </w:rPr>
            </w:pPr>
            <w:r>
              <w:rPr>
                <w:rFonts w:ascii="Times New Roman" w:hAnsi="Times New Roman"/>
                <w:sz w:val="16"/>
                <w:szCs w:val="16"/>
              </w:rPr>
              <w:t>7.29</w:t>
            </w:r>
          </w:p>
        </w:tc>
        <w:tc>
          <w:tcPr>
            <w:tcW w:w="419" w:type="pct"/>
            <w:tcBorders>
              <w:left w:val="nil"/>
              <w:bottom w:val="single" w:sz="12" w:space="0" w:color="auto"/>
              <w:right w:val="nil"/>
            </w:tcBorders>
            <w:vAlign w:val="center"/>
          </w:tcPr>
          <w:p w14:paraId="3FCAE5DC" w14:textId="77777777" w:rsidR="00097C63" w:rsidRDefault="00FB6D14">
            <w:pPr>
              <w:jc w:val="center"/>
              <w:rPr>
                <w:rFonts w:ascii="Times New Roman" w:hAnsi="Times New Roman"/>
                <w:sz w:val="16"/>
                <w:szCs w:val="16"/>
              </w:rPr>
            </w:pPr>
            <w:r>
              <w:rPr>
                <w:rFonts w:ascii="Times New Roman" w:hAnsi="Times New Roman"/>
                <w:sz w:val="16"/>
                <w:szCs w:val="16"/>
              </w:rPr>
              <w:t>7.29</w:t>
            </w:r>
          </w:p>
        </w:tc>
        <w:tc>
          <w:tcPr>
            <w:tcW w:w="326" w:type="pct"/>
            <w:tcBorders>
              <w:left w:val="nil"/>
              <w:bottom w:val="single" w:sz="12" w:space="0" w:color="auto"/>
            </w:tcBorders>
            <w:vAlign w:val="center"/>
          </w:tcPr>
          <w:p w14:paraId="65E0F14D" w14:textId="77777777" w:rsidR="00097C63" w:rsidRDefault="00FB6D14">
            <w:pPr>
              <w:jc w:val="center"/>
              <w:rPr>
                <w:rFonts w:ascii="Times New Roman" w:hAnsi="Times New Roman"/>
                <w:sz w:val="16"/>
                <w:szCs w:val="16"/>
              </w:rPr>
            </w:pPr>
            <w:r>
              <w:rPr>
                <w:rFonts w:ascii="Times New Roman" w:hAnsi="Times New Roman"/>
                <w:sz w:val="16"/>
                <w:szCs w:val="16"/>
              </w:rPr>
              <w:t>29.51</w:t>
            </w:r>
          </w:p>
        </w:tc>
      </w:tr>
      <w:tr w:rsidR="00097C63" w14:paraId="3F2F957A" w14:textId="77777777">
        <w:tblPrEx>
          <w:tblBorders>
            <w:top w:val="none" w:sz="0" w:space="0" w:color="auto"/>
            <w:bottom w:val="none" w:sz="0" w:space="0" w:color="auto"/>
          </w:tblBorders>
        </w:tblPrEx>
        <w:trPr>
          <w:trHeight w:val="2557"/>
          <w:jc w:val="center"/>
        </w:trPr>
        <w:tc>
          <w:tcPr>
            <w:tcW w:w="1684" w:type="pct"/>
            <w:gridSpan w:val="3"/>
          </w:tcPr>
          <w:p w14:paraId="04EAEEFB" w14:textId="77777777" w:rsidR="00097C63" w:rsidRDefault="00FB6D14">
            <w:pPr>
              <w:jc w:val="center"/>
              <w:rPr>
                <w:rFonts w:ascii="Times New Roman" w:hAnsi="Times New Roman"/>
                <w:sz w:val="20"/>
                <w:szCs w:val="22"/>
              </w:rPr>
            </w:pPr>
            <w:r>
              <w:rPr>
                <w:rFonts w:ascii="Times New Roman" w:hAnsi="Times New Roman"/>
                <w:noProof/>
                <w:sz w:val="20"/>
                <w:szCs w:val="22"/>
                <w:lang w:val="pl-PL" w:eastAsia="pl-PL"/>
              </w:rPr>
              <w:lastRenderedPageBreak/>
              <w:drawing>
                <wp:inline distT="0" distB="0" distL="114300" distR="114300">
                  <wp:extent cx="1958340" cy="1516380"/>
                  <wp:effectExtent l="0" t="0" r="7620" b="7620"/>
                  <wp:docPr id="5" name="图片 4" descr="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60"/>
                          <pic:cNvPicPr>
                            <a:picLocks noChangeAspect="1"/>
                          </pic:cNvPicPr>
                        </pic:nvPicPr>
                        <pic:blipFill>
                          <a:blip r:embed="rId27"/>
                          <a:stretch>
                            <a:fillRect/>
                          </a:stretch>
                        </pic:blipFill>
                        <pic:spPr>
                          <a:xfrm>
                            <a:off x="0" y="0"/>
                            <a:ext cx="1958340" cy="1516380"/>
                          </a:xfrm>
                          <a:prstGeom prst="rect">
                            <a:avLst/>
                          </a:prstGeom>
                        </pic:spPr>
                      </pic:pic>
                    </a:graphicData>
                  </a:graphic>
                </wp:inline>
              </w:drawing>
            </w:r>
          </w:p>
        </w:tc>
        <w:tc>
          <w:tcPr>
            <w:tcW w:w="1671" w:type="pct"/>
            <w:gridSpan w:val="5"/>
          </w:tcPr>
          <w:p w14:paraId="43DEBE55" w14:textId="77777777" w:rsidR="00097C63" w:rsidRDefault="00FB6D14">
            <w:pPr>
              <w:jc w:val="center"/>
              <w:rPr>
                <w:rFonts w:ascii="Times New Roman" w:hAnsi="Times New Roman"/>
                <w:sz w:val="20"/>
                <w:szCs w:val="22"/>
              </w:rPr>
            </w:pPr>
            <w:r>
              <w:rPr>
                <w:rFonts w:ascii="Times New Roman" w:hAnsi="Times New Roman"/>
                <w:noProof/>
                <w:sz w:val="20"/>
                <w:szCs w:val="22"/>
                <w:lang w:val="pl-PL" w:eastAsia="pl-PL"/>
              </w:rPr>
              <w:drawing>
                <wp:inline distT="0" distB="0" distL="114300" distR="114300">
                  <wp:extent cx="1974850" cy="1504315"/>
                  <wp:effectExtent l="0" t="0" r="6350" b="4445"/>
                  <wp:docPr id="6" name="图片 6"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
                          <pic:cNvPicPr>
                            <a:picLocks noChangeAspect="1"/>
                          </pic:cNvPicPr>
                        </pic:nvPicPr>
                        <pic:blipFill>
                          <a:blip r:embed="rId28"/>
                          <a:stretch>
                            <a:fillRect/>
                          </a:stretch>
                        </pic:blipFill>
                        <pic:spPr>
                          <a:xfrm>
                            <a:off x="0" y="0"/>
                            <a:ext cx="1974850" cy="1504315"/>
                          </a:xfrm>
                          <a:prstGeom prst="rect">
                            <a:avLst/>
                          </a:prstGeom>
                        </pic:spPr>
                      </pic:pic>
                    </a:graphicData>
                  </a:graphic>
                </wp:inline>
              </w:drawing>
            </w:r>
          </w:p>
        </w:tc>
        <w:tc>
          <w:tcPr>
            <w:tcW w:w="1645" w:type="pct"/>
            <w:gridSpan w:val="5"/>
          </w:tcPr>
          <w:p w14:paraId="5338A570" w14:textId="77777777" w:rsidR="00097C63" w:rsidRDefault="00FB6D14">
            <w:pPr>
              <w:jc w:val="center"/>
              <w:rPr>
                <w:rFonts w:ascii="Times New Roman" w:hAnsi="Times New Roman"/>
                <w:sz w:val="20"/>
                <w:szCs w:val="22"/>
              </w:rPr>
            </w:pPr>
            <w:r>
              <w:rPr>
                <w:rFonts w:ascii="Times New Roman" w:hAnsi="Times New Roman"/>
                <w:noProof/>
                <w:sz w:val="20"/>
                <w:szCs w:val="22"/>
                <w:lang w:val="pl-PL" w:eastAsia="pl-PL"/>
              </w:rPr>
              <w:drawing>
                <wp:inline distT="0" distB="0" distL="114300" distR="114300">
                  <wp:extent cx="1924050" cy="1482090"/>
                  <wp:effectExtent l="0" t="0" r="11430" b="11430"/>
                  <wp:docPr id="9" name="图片 7" descr="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62"/>
                          <pic:cNvPicPr>
                            <a:picLocks noChangeAspect="1"/>
                          </pic:cNvPicPr>
                        </pic:nvPicPr>
                        <pic:blipFill>
                          <a:blip r:embed="rId29"/>
                          <a:stretch>
                            <a:fillRect/>
                          </a:stretch>
                        </pic:blipFill>
                        <pic:spPr>
                          <a:xfrm>
                            <a:off x="0" y="0"/>
                            <a:ext cx="1924050" cy="1482090"/>
                          </a:xfrm>
                          <a:prstGeom prst="rect">
                            <a:avLst/>
                          </a:prstGeom>
                        </pic:spPr>
                      </pic:pic>
                    </a:graphicData>
                  </a:graphic>
                </wp:inline>
              </w:drawing>
            </w:r>
          </w:p>
        </w:tc>
      </w:tr>
      <w:tr w:rsidR="00097C63" w14:paraId="633CF0A8" w14:textId="77777777">
        <w:tblPrEx>
          <w:tblBorders>
            <w:top w:val="none" w:sz="0" w:space="0" w:color="auto"/>
            <w:bottom w:val="none" w:sz="0" w:space="0" w:color="auto"/>
          </w:tblBorders>
        </w:tblPrEx>
        <w:trPr>
          <w:trHeight w:val="90"/>
          <w:jc w:val="center"/>
        </w:trPr>
        <w:tc>
          <w:tcPr>
            <w:tcW w:w="1684" w:type="pct"/>
            <w:gridSpan w:val="3"/>
          </w:tcPr>
          <w:p w14:paraId="1F86305B" w14:textId="77777777" w:rsidR="00097C63" w:rsidRDefault="00FB6D14">
            <w:pPr>
              <w:jc w:val="center"/>
              <w:rPr>
                <w:rFonts w:ascii="Times New Roman" w:hAnsi="Times New Roman"/>
                <w:sz w:val="20"/>
                <w:szCs w:val="22"/>
              </w:rPr>
            </w:pPr>
            <w:r>
              <w:rPr>
                <w:rFonts w:ascii="Times New Roman" w:hAnsi="Times New Roman"/>
                <w:sz w:val="20"/>
                <w:szCs w:val="22"/>
              </w:rPr>
              <w:t xml:space="preserve">(a) when </w:t>
            </w:r>
            <w:r>
              <w:rPr>
                <w:rFonts w:ascii="Times New Roman" w:hAnsi="Times New Roman"/>
                <w:i/>
                <w:iCs/>
                <w:sz w:val="20"/>
                <w:szCs w:val="22"/>
              </w:rPr>
              <w:t>u</w:t>
            </w:r>
            <w:r>
              <w:rPr>
                <w:rFonts w:ascii="Times New Roman" w:hAnsi="Times New Roman"/>
                <w:sz w:val="20"/>
                <w:szCs w:val="22"/>
              </w:rPr>
              <w:t xml:space="preserve">=1.5, the maximum warranty profit changes with  </w:t>
            </w:r>
            <w:r>
              <w:rPr>
                <w:rFonts w:ascii="Times New Roman" w:hAnsi="Times New Roman"/>
                <w:i/>
                <w:iCs/>
                <w:sz w:val="20"/>
                <w:szCs w:val="22"/>
              </w:rPr>
              <w:t>λ</w:t>
            </w:r>
            <w:r>
              <w:rPr>
                <w:rFonts w:ascii="Times New Roman" w:hAnsi="Times New Roman"/>
                <w:sz w:val="20"/>
                <w:szCs w:val="22"/>
              </w:rPr>
              <w:t>.</w:t>
            </w:r>
          </w:p>
        </w:tc>
        <w:tc>
          <w:tcPr>
            <w:tcW w:w="1671" w:type="pct"/>
            <w:gridSpan w:val="5"/>
          </w:tcPr>
          <w:p w14:paraId="79F9CE06" w14:textId="77777777" w:rsidR="00097C63" w:rsidRDefault="00FB6D14">
            <w:pPr>
              <w:jc w:val="center"/>
              <w:rPr>
                <w:rFonts w:ascii="Times New Roman" w:hAnsi="Times New Roman"/>
                <w:sz w:val="20"/>
                <w:szCs w:val="22"/>
              </w:rPr>
            </w:pPr>
            <w:r>
              <w:rPr>
                <w:rFonts w:ascii="Times New Roman" w:hAnsi="Times New Roman"/>
                <w:sz w:val="20"/>
                <w:szCs w:val="22"/>
              </w:rPr>
              <w:t xml:space="preserve">(b) when </w:t>
            </w:r>
            <w:r>
              <w:rPr>
                <w:rFonts w:ascii="Times New Roman" w:hAnsi="Times New Roman"/>
                <w:i/>
                <w:iCs/>
                <w:sz w:val="20"/>
                <w:szCs w:val="22"/>
              </w:rPr>
              <w:t>u</w:t>
            </w:r>
            <w:r>
              <w:rPr>
                <w:rFonts w:ascii="Times New Roman" w:hAnsi="Times New Roman"/>
                <w:sz w:val="20"/>
                <w:szCs w:val="22"/>
              </w:rPr>
              <w:t xml:space="preserve">=1.6, the maximum warranty profit changes with  </w:t>
            </w:r>
            <w:r>
              <w:rPr>
                <w:rFonts w:ascii="Times New Roman" w:hAnsi="Times New Roman"/>
                <w:i/>
                <w:iCs/>
                <w:sz w:val="20"/>
                <w:szCs w:val="22"/>
              </w:rPr>
              <w:t>λ</w:t>
            </w:r>
            <w:r>
              <w:rPr>
                <w:rFonts w:ascii="Times New Roman" w:hAnsi="Times New Roman"/>
                <w:sz w:val="20"/>
                <w:szCs w:val="22"/>
              </w:rPr>
              <w:t>.</w:t>
            </w:r>
          </w:p>
        </w:tc>
        <w:tc>
          <w:tcPr>
            <w:tcW w:w="1645" w:type="pct"/>
            <w:gridSpan w:val="5"/>
          </w:tcPr>
          <w:p w14:paraId="7F61BA81" w14:textId="77777777" w:rsidR="00097C63" w:rsidRDefault="00FB6D14">
            <w:pPr>
              <w:jc w:val="center"/>
              <w:rPr>
                <w:rFonts w:ascii="Times New Roman" w:hAnsi="Times New Roman"/>
                <w:sz w:val="20"/>
                <w:szCs w:val="22"/>
              </w:rPr>
            </w:pPr>
            <w:r>
              <w:rPr>
                <w:rFonts w:ascii="Times New Roman" w:hAnsi="Times New Roman"/>
                <w:sz w:val="20"/>
                <w:szCs w:val="22"/>
              </w:rPr>
              <w:t xml:space="preserve">(c) when </w:t>
            </w:r>
            <w:r>
              <w:rPr>
                <w:rFonts w:ascii="Times New Roman" w:hAnsi="Times New Roman"/>
                <w:i/>
                <w:iCs/>
                <w:sz w:val="20"/>
                <w:szCs w:val="22"/>
              </w:rPr>
              <w:t>u</w:t>
            </w:r>
            <w:r>
              <w:rPr>
                <w:rFonts w:ascii="Times New Roman" w:hAnsi="Times New Roman"/>
                <w:sz w:val="20"/>
                <w:szCs w:val="22"/>
              </w:rPr>
              <w:t xml:space="preserve">=1.7, the maximum warranty profit changes with  </w:t>
            </w:r>
            <w:r>
              <w:rPr>
                <w:rFonts w:ascii="Times New Roman" w:hAnsi="Times New Roman"/>
                <w:i/>
                <w:iCs/>
                <w:sz w:val="20"/>
                <w:szCs w:val="22"/>
              </w:rPr>
              <w:t>λ</w:t>
            </w:r>
            <w:r>
              <w:rPr>
                <w:rFonts w:ascii="Times New Roman" w:hAnsi="Times New Roman"/>
                <w:sz w:val="20"/>
                <w:szCs w:val="22"/>
              </w:rPr>
              <w:t>.</w:t>
            </w:r>
          </w:p>
        </w:tc>
      </w:tr>
    </w:tbl>
    <w:p w14:paraId="33E9385F" w14:textId="77777777" w:rsidR="00097C63" w:rsidRDefault="00FB6D14">
      <w:pPr>
        <w:jc w:val="center"/>
        <w:rPr>
          <w:rFonts w:ascii="Times New Roman" w:hAnsi="Times New Roman"/>
          <w:sz w:val="20"/>
          <w:szCs w:val="22"/>
        </w:rPr>
      </w:pPr>
      <w:r>
        <w:rPr>
          <w:rFonts w:ascii="Times New Roman" w:hAnsi="Times New Roman"/>
          <w:sz w:val="20"/>
          <w:szCs w:val="22"/>
        </w:rPr>
        <w:t>Figure 8. The relationship between the maximum warranty profit and the parameters of the IG process.</w:t>
      </w:r>
    </w:p>
    <w:p w14:paraId="095EDF17" w14:textId="77777777" w:rsidR="00097C63" w:rsidRDefault="00097C63"/>
    <w:p w14:paraId="2FEBCFD4" w14:textId="77777777" w:rsidR="00097C63" w:rsidRDefault="00097C63">
      <w:pPr>
        <w:sectPr w:rsidR="00097C63">
          <w:type w:val="continuous"/>
          <w:pgSz w:w="11906" w:h="16838"/>
          <w:pgMar w:top="1219" w:right="567" w:bottom="1219" w:left="567" w:header="765" w:footer="567" w:gutter="0"/>
          <w:cols w:space="566"/>
          <w:docGrid w:type="linesAndChars" w:linePitch="313" w:charSpace="139"/>
        </w:sectPr>
      </w:pPr>
    </w:p>
    <w:p w14:paraId="6A46A3DF" w14:textId="77777777" w:rsidR="00097C63" w:rsidRDefault="00FB6D14">
      <w:pPr>
        <w:ind w:firstLine="284"/>
        <w:rPr>
          <w:rFonts w:ascii="Times New Roman" w:hAnsi="Times New Roman"/>
          <w:sz w:val="20"/>
          <w:szCs w:val="22"/>
        </w:rPr>
      </w:pPr>
      <w:r>
        <w:rPr>
          <w:rFonts w:ascii="Times New Roman" w:hAnsi="Times New Roman"/>
          <w:sz w:val="20"/>
          <w:szCs w:val="22"/>
        </w:rPr>
        <w:t>(i) The analysis in Figure 8 displays that within different values for parameters of the IG degradation process, the PWS always maintains the best performance. This phenomenon fully confirms that the PWS proposed in this paper has broad applicability and can effectively adapt to IG degradation systems with different degradation rates.</w:t>
      </w:r>
    </w:p>
    <w:p w14:paraId="33099A46" w14:textId="77777777" w:rsidR="00097C63" w:rsidRDefault="00FB6D14">
      <w:pPr>
        <w:ind w:firstLine="284"/>
        <w:rPr>
          <w:rFonts w:ascii="Times New Roman" w:hAnsi="Times New Roman"/>
          <w:sz w:val="20"/>
          <w:szCs w:val="22"/>
        </w:rPr>
      </w:pPr>
      <w:r>
        <w:rPr>
          <w:rFonts w:ascii="Times New Roman" w:hAnsi="Times New Roman"/>
          <w:sz w:val="20"/>
          <w:szCs w:val="22"/>
        </w:rPr>
        <w:t xml:space="preserve">(ii) All three warranty strategies exhibit the same response pattern to changes in the parameters of the IG degradation process: When the mean parameter </w:t>
      </w:r>
      <w:r>
        <w:rPr>
          <w:rFonts w:ascii="Times New Roman" w:hAnsi="Times New Roman"/>
          <w:i/>
          <w:iCs/>
          <w:sz w:val="20"/>
          <w:szCs w:val="22"/>
        </w:rPr>
        <w:t>u</w:t>
      </w:r>
      <w:r>
        <w:rPr>
          <w:rFonts w:ascii="Times New Roman" w:hAnsi="Times New Roman"/>
          <w:sz w:val="20"/>
          <w:szCs w:val="22"/>
        </w:rPr>
        <w:t xml:space="preserve"> is held constant, the manufacturer's warranty profit increases as the shape parameter </w:t>
      </w:r>
      <w:r>
        <w:rPr>
          <w:rFonts w:ascii="Times New Roman" w:hAnsi="Times New Roman"/>
          <w:i/>
          <w:iCs/>
          <w:sz w:val="20"/>
          <w:szCs w:val="22"/>
        </w:rPr>
        <w:t>λ</w:t>
      </w:r>
      <w:r>
        <w:rPr>
          <w:rFonts w:ascii="Times New Roman" w:hAnsi="Times New Roman"/>
          <w:sz w:val="20"/>
          <w:szCs w:val="22"/>
        </w:rPr>
        <w:t xml:space="preserve"> increases; conversely, when </w:t>
      </w:r>
      <w:r>
        <w:rPr>
          <w:rFonts w:ascii="Times New Roman" w:hAnsi="Times New Roman"/>
          <w:i/>
          <w:iCs/>
          <w:sz w:val="20"/>
          <w:szCs w:val="22"/>
        </w:rPr>
        <w:t>λ</w:t>
      </w:r>
      <w:r>
        <w:rPr>
          <w:rFonts w:ascii="Times New Roman" w:hAnsi="Times New Roman"/>
          <w:sz w:val="20"/>
          <w:szCs w:val="22"/>
        </w:rPr>
        <w:t xml:space="preserve"> is fixed, the manufacturer's warranty profit decreases as the mean parameter </w:t>
      </w:r>
      <w:r>
        <w:rPr>
          <w:rFonts w:ascii="Times New Roman" w:hAnsi="Times New Roman"/>
          <w:i/>
          <w:iCs/>
          <w:sz w:val="20"/>
          <w:szCs w:val="22"/>
        </w:rPr>
        <w:t>u</w:t>
      </w:r>
      <w:r>
        <w:rPr>
          <w:rFonts w:ascii="Times New Roman" w:hAnsi="Times New Roman"/>
          <w:sz w:val="20"/>
          <w:szCs w:val="22"/>
        </w:rPr>
        <w:t xml:space="preserve"> increases. The underlying mechanism for this pattern is as follows: When </w:t>
      </w:r>
      <w:r>
        <w:rPr>
          <w:rFonts w:ascii="Times New Roman" w:hAnsi="Times New Roman"/>
          <w:i/>
          <w:iCs/>
          <w:sz w:val="20"/>
          <w:szCs w:val="22"/>
        </w:rPr>
        <w:t>u</w:t>
      </w:r>
      <w:r>
        <w:rPr>
          <w:rFonts w:ascii="Times New Roman" w:hAnsi="Times New Roman"/>
          <w:sz w:val="20"/>
          <w:szCs w:val="22"/>
        </w:rPr>
        <w:t xml:space="preserve"> is constant, an increase in </w:t>
      </w:r>
      <w:r>
        <w:rPr>
          <w:rFonts w:ascii="Times New Roman" w:hAnsi="Times New Roman"/>
          <w:i/>
          <w:iCs/>
          <w:sz w:val="20"/>
          <w:szCs w:val="22"/>
        </w:rPr>
        <w:t>λ</w:t>
      </w:r>
      <w:r>
        <w:rPr>
          <w:rFonts w:ascii="Times New Roman" w:hAnsi="Times New Roman"/>
          <w:sz w:val="20"/>
          <w:szCs w:val="22"/>
        </w:rPr>
        <w:t xml:space="preserve"> leads to a slower degradation rate, thereby reducing the probability of failure and ultimately increasing the manufacturer's warranty profit. Correspondingly, when </w:t>
      </w:r>
      <w:r>
        <w:rPr>
          <w:rFonts w:ascii="Times New Roman" w:hAnsi="Times New Roman"/>
          <w:i/>
          <w:iCs/>
          <w:sz w:val="20"/>
          <w:szCs w:val="22"/>
        </w:rPr>
        <w:t>λ</w:t>
      </w:r>
      <w:r>
        <w:rPr>
          <w:rFonts w:ascii="Times New Roman" w:hAnsi="Times New Roman"/>
          <w:sz w:val="20"/>
          <w:szCs w:val="22"/>
        </w:rPr>
        <w:t xml:space="preserve"> is held constant, an increase in </w:t>
      </w:r>
      <w:r>
        <w:rPr>
          <w:rFonts w:ascii="Times New Roman" w:hAnsi="Times New Roman"/>
          <w:i/>
          <w:iCs/>
          <w:sz w:val="20"/>
          <w:szCs w:val="22"/>
        </w:rPr>
        <w:t>u</w:t>
      </w:r>
      <w:r>
        <w:rPr>
          <w:rFonts w:ascii="Times New Roman" w:hAnsi="Times New Roman"/>
          <w:sz w:val="20"/>
          <w:szCs w:val="22"/>
        </w:rPr>
        <w:t xml:space="preserve"> accelerates the system's degradation rate, increasing the likelihood of failure and thus decreasing the manufacturer's warranty profit.</w:t>
      </w:r>
    </w:p>
    <w:p w14:paraId="69177EE7" w14:textId="77777777" w:rsidR="00097C63" w:rsidRDefault="00FB6D14">
      <w:pPr>
        <w:pStyle w:val="Nagwek2"/>
      </w:pPr>
      <w:r>
        <w:t xml:space="preserve">6.2.2. </w:t>
      </w:r>
      <w:r>
        <w:rPr>
          <w:rFonts w:hint="eastAsia"/>
        </w:rPr>
        <w:t>Impact analysis of p</w:t>
      </w:r>
      <w:r>
        <w:t xml:space="preserve">reventive </w:t>
      </w:r>
      <w:r>
        <w:rPr>
          <w:rFonts w:hint="eastAsia"/>
        </w:rPr>
        <w:t>m</w:t>
      </w:r>
      <w:r>
        <w:t xml:space="preserve">aintenance </w:t>
      </w:r>
      <w:r>
        <w:rPr>
          <w:rFonts w:hint="eastAsia"/>
        </w:rPr>
        <w:t>t</w:t>
      </w:r>
      <w:r>
        <w:t>hreshold</w:t>
      </w:r>
      <w:r>
        <w:rPr>
          <w:rFonts w:hint="eastAsia"/>
        </w:rPr>
        <w:t xml:space="preserve"> </w:t>
      </w:r>
      <w:r>
        <w:rPr>
          <w:rFonts w:hint="eastAsia"/>
          <w:i/>
          <w:iCs/>
        </w:rPr>
        <w:t>h</w:t>
      </w:r>
      <w:r>
        <w:rPr>
          <w:rFonts w:hint="eastAsia"/>
          <w:i/>
          <w:iCs/>
          <w:vertAlign w:val="subscript"/>
        </w:rPr>
        <w:t>p</w:t>
      </w:r>
    </w:p>
    <w:p w14:paraId="3D798E14" w14:textId="77777777" w:rsidR="00097C63" w:rsidRDefault="00FB6D14">
      <w:pPr>
        <w:pStyle w:val="tekstgowny"/>
        <w:ind w:firstLine="0"/>
        <w:rPr>
          <w:lang w:val="en-US"/>
        </w:rPr>
      </w:pPr>
      <w:r>
        <w:rPr>
          <w:rFonts w:hint="eastAsia"/>
          <w:lang w:val="en-US"/>
        </w:rPr>
        <w:t xml:space="preserve">This section mainly investigates the impact of </w:t>
      </w:r>
      <w:r>
        <w:rPr>
          <w:rFonts w:hint="eastAsia"/>
          <w:i/>
          <w:iCs/>
          <w:lang w:val="en-US"/>
        </w:rPr>
        <w:t>h</w:t>
      </w:r>
      <w:r>
        <w:rPr>
          <w:rFonts w:hint="eastAsia"/>
          <w:i/>
          <w:iCs/>
          <w:vertAlign w:val="subscript"/>
          <w:lang w:val="en-US"/>
        </w:rPr>
        <w:t>p</w:t>
      </w:r>
      <w:r>
        <w:rPr>
          <w:rFonts w:hint="eastAsia"/>
          <w:lang w:val="en-US"/>
        </w:rPr>
        <w:t xml:space="preserve"> on the manufacturer's performance warranty profit. The </w:t>
      </w:r>
      <w:r>
        <w:rPr>
          <w:rFonts w:hint="eastAsia"/>
          <w:i/>
          <w:iCs/>
          <w:lang w:val="en-US"/>
        </w:rPr>
        <w:t>h</w:t>
      </w:r>
      <w:r>
        <w:rPr>
          <w:rFonts w:hint="eastAsia"/>
          <w:i/>
          <w:iCs/>
          <w:vertAlign w:val="subscript"/>
          <w:lang w:val="en-US"/>
        </w:rPr>
        <w:t>p</w:t>
      </w:r>
      <w:r>
        <w:rPr>
          <w:rFonts w:hint="eastAsia"/>
          <w:lang w:val="en-US"/>
        </w:rPr>
        <w:t xml:space="preserve"> values are set to 20, 35, and 50, respectively, with all other parameters consistent with those in Section 7.1. The changes in the manufacturer's performance warranty profit with </w:t>
      </w:r>
      <w:r>
        <w:rPr>
          <w:rFonts w:hint="eastAsia"/>
          <w:i/>
          <w:iCs/>
          <w:lang w:val="en-US"/>
        </w:rPr>
        <w:t>D</w:t>
      </w:r>
      <w:r>
        <w:rPr>
          <w:rFonts w:hint="eastAsia"/>
          <w:i/>
          <w:iCs/>
          <w:vertAlign w:val="subscript"/>
          <w:lang w:val="en-US"/>
        </w:rPr>
        <w:t>1</w:t>
      </w:r>
      <w:r>
        <w:rPr>
          <w:rFonts w:hint="eastAsia"/>
          <w:lang w:val="en-US"/>
        </w:rPr>
        <w:t xml:space="preserve"> and </w:t>
      </w:r>
      <w:r>
        <w:rPr>
          <w:rFonts w:hint="eastAsia"/>
          <w:i/>
          <w:iCs/>
          <w:lang w:val="en-US"/>
        </w:rPr>
        <w:t>D</w:t>
      </w:r>
      <w:r>
        <w:rPr>
          <w:rFonts w:hint="eastAsia"/>
          <w:lang w:val="en-US"/>
        </w:rPr>
        <w:t xml:space="preserve"> under different values of </w:t>
      </w:r>
      <w:r>
        <w:rPr>
          <w:rFonts w:hint="eastAsia"/>
          <w:i/>
          <w:iCs/>
          <w:lang w:val="en-US"/>
        </w:rPr>
        <w:t>h</w:t>
      </w:r>
      <w:r>
        <w:rPr>
          <w:rFonts w:hint="eastAsia"/>
          <w:i/>
          <w:iCs/>
          <w:vertAlign w:val="subscript"/>
          <w:lang w:val="en-US"/>
        </w:rPr>
        <w:t>p</w:t>
      </w:r>
      <w:r>
        <w:rPr>
          <w:rFonts w:hint="eastAsia"/>
          <w:lang w:val="en-US"/>
        </w:rPr>
        <w:t xml:space="preserve"> are displayed in Figure 10.</w:t>
      </w:r>
    </w:p>
    <w:p w14:paraId="1E0BA8C2" w14:textId="77777777" w:rsidR="00097C63" w:rsidRDefault="00FB6D14">
      <w:pPr>
        <w:pStyle w:val="tekstgowny"/>
        <w:rPr>
          <w:lang w:val="en-US"/>
        </w:rPr>
      </w:pPr>
      <w:r>
        <w:rPr>
          <w:rFonts w:hint="eastAsia"/>
          <w:lang w:val="en-US"/>
        </w:rPr>
        <w:t xml:space="preserve">(i) Figure 10 shows the case when the values of </w:t>
      </w:r>
      <w:r>
        <w:rPr>
          <w:rFonts w:hint="eastAsia"/>
          <w:i/>
          <w:iCs/>
          <w:lang w:val="en-US"/>
        </w:rPr>
        <w:t>D</w:t>
      </w:r>
      <w:r>
        <w:rPr>
          <w:rFonts w:hint="eastAsia"/>
          <w:i/>
          <w:iCs/>
          <w:vertAlign w:val="subscript"/>
          <w:lang w:val="en-US"/>
        </w:rPr>
        <w:t>1</w:t>
      </w:r>
      <w:r>
        <w:rPr>
          <w:rFonts w:hint="eastAsia"/>
          <w:lang w:val="en-US"/>
        </w:rPr>
        <w:t xml:space="preserve"> and </w:t>
      </w:r>
      <w:r>
        <w:rPr>
          <w:rFonts w:hint="eastAsia"/>
          <w:i/>
          <w:iCs/>
          <w:lang w:val="en-US"/>
        </w:rPr>
        <w:t>D</w:t>
      </w:r>
      <w:r>
        <w:rPr>
          <w:rFonts w:hint="eastAsia"/>
          <w:lang w:val="en-US"/>
        </w:rPr>
        <w:t xml:space="preserve"> are small, a lower value of </w:t>
      </w:r>
      <w:r>
        <w:rPr>
          <w:rFonts w:hint="eastAsia"/>
          <w:i/>
          <w:iCs/>
          <w:lang w:val="en-US"/>
        </w:rPr>
        <w:t>h</w:t>
      </w:r>
      <w:r>
        <w:rPr>
          <w:rFonts w:hint="eastAsia"/>
          <w:i/>
          <w:iCs/>
          <w:vertAlign w:val="subscript"/>
          <w:lang w:val="en-US"/>
        </w:rPr>
        <w:t>p</w:t>
      </w:r>
      <w:r>
        <w:rPr>
          <w:rFonts w:hint="eastAsia"/>
          <w:lang w:val="en-US"/>
        </w:rPr>
        <w:t xml:space="preserve"> is conducive to increasing the manufacturer's performance warranty profit, with the maximum performance warranty profit corresponding to </w:t>
      </w:r>
      <w:r>
        <w:rPr>
          <w:rFonts w:hint="eastAsia"/>
          <w:i/>
          <w:iCs/>
          <w:lang w:val="en-US"/>
        </w:rPr>
        <w:t>h</w:t>
      </w:r>
      <w:r>
        <w:rPr>
          <w:rFonts w:hint="eastAsia"/>
          <w:i/>
          <w:iCs/>
          <w:vertAlign w:val="subscript"/>
          <w:lang w:val="en-US"/>
        </w:rPr>
        <w:t>p</w:t>
      </w:r>
      <w:r>
        <w:rPr>
          <w:rFonts w:hint="eastAsia"/>
          <w:lang w:val="en-US"/>
        </w:rPr>
        <w:t xml:space="preserve">=20. When the values of </w:t>
      </w:r>
      <w:r>
        <w:rPr>
          <w:rFonts w:hint="eastAsia"/>
          <w:i/>
          <w:iCs/>
          <w:lang w:val="en-US"/>
        </w:rPr>
        <w:t>D</w:t>
      </w:r>
      <w:r>
        <w:rPr>
          <w:rFonts w:hint="eastAsia"/>
          <w:i/>
          <w:iCs/>
          <w:vertAlign w:val="subscript"/>
          <w:lang w:val="en-US"/>
        </w:rPr>
        <w:t>1</w:t>
      </w:r>
      <w:r>
        <w:rPr>
          <w:rFonts w:hint="eastAsia"/>
          <w:lang w:val="en-US"/>
        </w:rPr>
        <w:t xml:space="preserve"> and </w:t>
      </w:r>
      <w:r>
        <w:rPr>
          <w:rFonts w:hint="eastAsia"/>
          <w:i/>
          <w:iCs/>
          <w:lang w:val="en-US"/>
        </w:rPr>
        <w:t>D</w:t>
      </w:r>
      <w:r>
        <w:rPr>
          <w:rFonts w:hint="eastAsia"/>
          <w:lang w:val="en-US"/>
        </w:rPr>
        <w:t xml:space="preserve"> are large, a moderate value of </w:t>
      </w:r>
      <w:r>
        <w:rPr>
          <w:rFonts w:hint="eastAsia"/>
          <w:i/>
          <w:iCs/>
          <w:lang w:val="en-US"/>
        </w:rPr>
        <w:t>h</w:t>
      </w:r>
      <w:r>
        <w:rPr>
          <w:rFonts w:hint="eastAsia"/>
          <w:i/>
          <w:iCs/>
          <w:vertAlign w:val="subscript"/>
          <w:lang w:val="en-US"/>
        </w:rPr>
        <w:t>p</w:t>
      </w:r>
      <w:r>
        <w:rPr>
          <w:rFonts w:hint="eastAsia"/>
          <w:lang w:val="en-US"/>
        </w:rPr>
        <w:t xml:space="preserve"> is beneficial </w:t>
      </w:r>
      <w:r>
        <w:rPr>
          <w:rFonts w:hint="eastAsia"/>
          <w:lang w:val="en-US"/>
        </w:rPr>
        <w:t xml:space="preserve">for increasing the manufacturer's performance warranty profit, with the maximum performance warranty profit corresponding to </w:t>
      </w:r>
      <w:r>
        <w:rPr>
          <w:rFonts w:hint="eastAsia"/>
          <w:i/>
          <w:iCs/>
          <w:lang w:val="en-US"/>
        </w:rPr>
        <w:t>h</w:t>
      </w:r>
      <w:r>
        <w:rPr>
          <w:rFonts w:hint="eastAsia"/>
          <w:i/>
          <w:iCs/>
          <w:vertAlign w:val="subscript"/>
          <w:lang w:val="en-US"/>
        </w:rPr>
        <w:t>p</w:t>
      </w:r>
      <w:r>
        <w:rPr>
          <w:rFonts w:hint="eastAsia"/>
          <w:lang w:val="en-US"/>
        </w:rPr>
        <w:t>=35.</w:t>
      </w:r>
    </w:p>
    <w:p w14:paraId="4055DA9E" w14:textId="77777777" w:rsidR="00097C63" w:rsidRDefault="00FB6D14">
      <w:pPr>
        <w:pStyle w:val="tekstgowny"/>
        <w:rPr>
          <w:lang w:val="en-US"/>
        </w:rPr>
      </w:pPr>
      <w:r>
        <w:rPr>
          <w:lang w:val="en-US"/>
        </w:rPr>
        <w:t xml:space="preserve">(ii) From Figure 10, it can be observed that when the value of </w:t>
      </w:r>
      <w:r>
        <w:rPr>
          <w:rFonts w:hint="eastAsia"/>
          <w:i/>
          <w:iCs/>
          <w:lang w:val="en-US"/>
        </w:rPr>
        <w:t>h</w:t>
      </w:r>
      <w:r>
        <w:rPr>
          <w:rFonts w:hint="eastAsia"/>
          <w:i/>
          <w:iCs/>
          <w:vertAlign w:val="subscript"/>
          <w:lang w:val="en-US"/>
        </w:rPr>
        <w:t>p</w:t>
      </w:r>
      <w:r>
        <w:rPr>
          <w:lang w:val="en-US"/>
        </w:rPr>
        <w:t xml:space="preserve"> is 50, the corresponding manufacturer's performance warranty profit is significantly lower than when </w:t>
      </w:r>
      <w:r>
        <w:rPr>
          <w:rFonts w:hint="eastAsia"/>
          <w:i/>
          <w:iCs/>
          <w:lang w:val="en-US"/>
        </w:rPr>
        <w:t>h</w:t>
      </w:r>
      <w:r>
        <w:rPr>
          <w:rFonts w:hint="eastAsia"/>
          <w:i/>
          <w:iCs/>
          <w:vertAlign w:val="subscript"/>
          <w:lang w:val="en-US"/>
        </w:rPr>
        <w:t>p</w:t>
      </w:r>
      <w:r>
        <w:rPr>
          <w:lang w:val="en-US"/>
        </w:rPr>
        <w:t xml:space="preserve"> is 20 or 35. This indicates that the value of </w:t>
      </w:r>
      <w:r>
        <w:rPr>
          <w:rFonts w:hint="eastAsia"/>
          <w:i/>
          <w:iCs/>
          <w:lang w:val="en-US"/>
        </w:rPr>
        <w:t>h</w:t>
      </w:r>
      <w:r>
        <w:rPr>
          <w:rFonts w:hint="eastAsia"/>
          <w:i/>
          <w:iCs/>
          <w:vertAlign w:val="subscript"/>
          <w:lang w:val="en-US"/>
        </w:rPr>
        <w:t>p</w:t>
      </w:r>
      <w:r>
        <w:rPr>
          <w:lang w:val="en-US"/>
        </w:rPr>
        <w:t xml:space="preserve"> should not be too large; otherwise, it will increase the equipment's failure rate, resulting in longer downtime and higher </w:t>
      </w:r>
      <w:r>
        <w:rPr>
          <w:rFonts w:hint="eastAsia"/>
          <w:lang w:val="en-US"/>
        </w:rPr>
        <w:t>CM</w:t>
      </w:r>
      <w:r>
        <w:rPr>
          <w:lang w:val="en-US"/>
        </w:rPr>
        <w:t xml:space="preserve"> costs, thereby causing </w:t>
      </w:r>
      <w:r>
        <w:rPr>
          <w:lang w:val="en-US"/>
        </w:rPr>
        <w:br/>
        <w:t>a noticeable "plunge" in the manufacturer's performance warranty profit.</w:t>
      </w:r>
    </w:p>
    <w:p w14:paraId="636F50C6" w14:textId="77777777" w:rsidR="00097C63" w:rsidRDefault="00FB6D14">
      <w:pPr>
        <w:pStyle w:val="tekstgowny"/>
        <w:ind w:firstLine="0"/>
        <w:jc w:val="center"/>
      </w:pPr>
      <w:r>
        <w:rPr>
          <w:noProof/>
          <w:sz w:val="21"/>
          <w:szCs w:val="22"/>
          <w:lang w:val="pl-PL" w:eastAsia="pl-PL"/>
        </w:rPr>
        <w:drawing>
          <wp:inline distT="0" distB="0" distL="114300" distR="114300">
            <wp:extent cx="2538095" cy="2085975"/>
            <wp:effectExtent l="0" t="0" r="6985" b="1905"/>
            <wp:docPr id="1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0"/>
                    <pic:cNvPicPr>
                      <a:picLocks noChangeAspect="1"/>
                    </pic:cNvPicPr>
                  </pic:nvPicPr>
                  <pic:blipFill>
                    <a:blip r:embed="rId30"/>
                    <a:stretch>
                      <a:fillRect/>
                    </a:stretch>
                  </pic:blipFill>
                  <pic:spPr>
                    <a:xfrm>
                      <a:off x="0" y="0"/>
                      <a:ext cx="2538095" cy="2085975"/>
                    </a:xfrm>
                    <a:prstGeom prst="rect">
                      <a:avLst/>
                    </a:prstGeom>
                    <a:noFill/>
                    <a:ln>
                      <a:noFill/>
                    </a:ln>
                  </pic:spPr>
                </pic:pic>
              </a:graphicData>
            </a:graphic>
          </wp:inline>
        </w:drawing>
      </w:r>
    </w:p>
    <w:p w14:paraId="6B236ABE" w14:textId="77777777" w:rsidR="00097C63" w:rsidRDefault="00FB6D14">
      <w:pPr>
        <w:pStyle w:val="tekstgowny"/>
        <w:ind w:firstLine="0"/>
        <w:jc w:val="center"/>
      </w:pPr>
      <w:r>
        <w:t xml:space="preserve">Figure 10. </w:t>
      </w:r>
      <w:r>
        <w:rPr>
          <w:rFonts w:hint="eastAsia"/>
          <w:lang w:val="en-US"/>
        </w:rPr>
        <w:t xml:space="preserve">The maximum warranty profit of the manufacturer changes with </w:t>
      </w:r>
      <w:r>
        <w:rPr>
          <w:rFonts w:hint="eastAsia"/>
          <w:i/>
          <w:iCs/>
          <w:lang w:val="en-US"/>
        </w:rPr>
        <w:t>h</w:t>
      </w:r>
      <w:r>
        <w:rPr>
          <w:rFonts w:hint="eastAsia"/>
          <w:i/>
          <w:iCs/>
          <w:vertAlign w:val="subscript"/>
          <w:lang w:val="en-US"/>
        </w:rPr>
        <w:t>p</w:t>
      </w:r>
      <w:r>
        <w:rPr>
          <w:rFonts w:hint="eastAsia"/>
          <w:lang w:val="en-US"/>
        </w:rPr>
        <w:t>.</w:t>
      </w:r>
    </w:p>
    <w:p w14:paraId="671CB36D" w14:textId="77777777" w:rsidR="00097C63" w:rsidRDefault="00FB6D14">
      <w:pPr>
        <w:pStyle w:val="Nagwek1"/>
      </w:pPr>
      <w:r>
        <w:rPr>
          <w:rFonts w:hint="eastAsia"/>
        </w:rPr>
        <w:t>Conclusion</w:t>
      </w:r>
    </w:p>
    <w:p w14:paraId="364992D8" w14:textId="77777777" w:rsidR="00097C63" w:rsidRDefault="00FB6D14">
      <w:pPr>
        <w:pStyle w:val="tekstgowny"/>
        <w:ind w:firstLine="0"/>
        <w:rPr>
          <w:lang w:val="en-US"/>
        </w:rPr>
      </w:pPr>
      <w:r>
        <w:rPr>
          <w:lang w:val="en-US"/>
        </w:rPr>
        <w:t>In the performance warranty mode, users do not need to limit the manufacturer's specific operating procedures, but only need to set clear performance goals and corresponding incentive policies, in order to encourage manufacturers to independently optimize the quality standards, technical performance, and maintenance efficiency of equipment. This article takes the I</w:t>
      </w:r>
      <w:r>
        <w:rPr>
          <w:rFonts w:hint="eastAsia"/>
          <w:lang w:val="en-US"/>
        </w:rPr>
        <w:t>G</w:t>
      </w:r>
      <w:r>
        <w:rPr>
          <w:lang w:val="en-US"/>
        </w:rPr>
        <w:t xml:space="preserve"> </w:t>
      </w:r>
      <w:r>
        <w:rPr>
          <w:lang w:val="en-US"/>
        </w:rPr>
        <w:lastRenderedPageBreak/>
        <w:t xml:space="preserve">degradation system as the research object and innovatively proposes a </w:t>
      </w:r>
      <w:r>
        <w:rPr>
          <w:rFonts w:hint="eastAsia"/>
          <w:lang w:val="en-US"/>
        </w:rPr>
        <w:t>PWS</w:t>
      </w:r>
      <w:r>
        <w:rPr>
          <w:lang w:val="en-US"/>
        </w:rPr>
        <w:t>. Its core contribution lies in incorporating</w:t>
      </w:r>
      <w:r>
        <w:rPr>
          <w:rFonts w:hint="eastAsia"/>
          <w:lang w:val="en-US"/>
        </w:rPr>
        <w:t xml:space="preserve"> </w:t>
      </w:r>
      <w:r>
        <w:rPr>
          <w:lang w:val="en-US"/>
        </w:rPr>
        <w:br/>
      </w:r>
      <w:r>
        <w:rPr>
          <w:rFonts w:hint="eastAsia"/>
          <w:lang w:val="en-US"/>
        </w:rPr>
        <w:t xml:space="preserve">a </w:t>
      </w:r>
      <w:r>
        <w:rPr>
          <w:lang w:val="en-US"/>
        </w:rPr>
        <w:t>preventive</w:t>
      </w:r>
      <w:r>
        <w:rPr>
          <w:rFonts w:hint="eastAsia"/>
          <w:lang w:val="en-US"/>
        </w:rPr>
        <w:t xml:space="preserve"> inspection</w:t>
      </w:r>
      <w:r>
        <w:rPr>
          <w:lang w:val="en-US"/>
        </w:rPr>
        <w:t xml:space="preserve"> mechanism into the </w:t>
      </w:r>
      <w:r>
        <w:rPr>
          <w:rFonts w:hint="eastAsia"/>
          <w:lang w:val="en-US"/>
        </w:rPr>
        <w:t>PWS</w:t>
      </w:r>
      <w:r>
        <w:rPr>
          <w:lang w:val="en-US"/>
        </w:rPr>
        <w:t xml:space="preserve"> and differentiating the time interval between the initial and subsequent </w:t>
      </w:r>
      <w:r>
        <w:rPr>
          <w:rFonts w:hint="eastAsia"/>
          <w:lang w:val="en-US"/>
        </w:rPr>
        <w:t>inspections</w:t>
      </w:r>
      <w:r>
        <w:rPr>
          <w:lang w:val="en-US"/>
        </w:rPr>
        <w:t xml:space="preserve">. In addition, this study constructs </w:t>
      </w:r>
      <w:r>
        <w:rPr>
          <w:lang w:val="en-US"/>
        </w:rPr>
        <w:br/>
        <w:t xml:space="preserve">a linear profit function with system availability as the sole assessment indicator, directly linking the manufacturer's warranty profit </w:t>
      </w:r>
      <w:r>
        <w:rPr>
          <w:rFonts w:hint="eastAsia"/>
          <w:lang w:val="en-US"/>
        </w:rPr>
        <w:t>to</w:t>
      </w:r>
      <w:r>
        <w:rPr>
          <w:lang w:val="en-US"/>
        </w:rPr>
        <w:t xml:space="preserve"> equipment</w:t>
      </w:r>
      <w:r>
        <w:rPr>
          <w:rFonts w:hint="eastAsia"/>
          <w:lang w:val="en-US"/>
        </w:rPr>
        <w:t xml:space="preserve"> </w:t>
      </w:r>
      <w:r>
        <w:rPr>
          <w:lang w:val="en-US"/>
        </w:rPr>
        <w:t>availability, thereby stimulating the manufacturer's technological innovation. Finally, this article validates the effectiveness of the strategy through case studies and conducts sensitivity analysis, further revealing the optimization space for key parameters. The research results show that: (1)</w:t>
      </w:r>
      <w:r>
        <w:rPr>
          <w:rFonts w:hint="eastAsia"/>
          <w:lang w:val="en-US"/>
        </w:rPr>
        <w:t xml:space="preserve"> </w:t>
      </w:r>
      <w:r>
        <w:rPr>
          <w:lang w:val="en-US"/>
        </w:rPr>
        <w:t xml:space="preserve">Compared with the </w:t>
      </w:r>
      <w:r>
        <w:rPr>
          <w:rFonts w:hint="eastAsia"/>
          <w:lang w:val="en-US"/>
        </w:rPr>
        <w:t>CBM</w:t>
      </w:r>
      <w:r>
        <w:rPr>
          <w:lang w:val="en-US"/>
        </w:rPr>
        <w:t xml:space="preserve"> strategy based on minimizing warranty cost and the</w:t>
      </w:r>
      <w:r>
        <w:rPr>
          <w:rFonts w:hint="eastAsia"/>
          <w:lang w:val="en-US"/>
        </w:rPr>
        <w:t xml:space="preserve"> </w:t>
      </w:r>
      <w:r>
        <w:rPr>
          <w:lang w:val="en-US"/>
        </w:rPr>
        <w:t>warranty strategy that does not differentiate between the initial and subsequent inspection intervals, the proposed</w:t>
      </w:r>
      <w:r>
        <w:rPr>
          <w:rFonts w:hint="eastAsia"/>
          <w:lang w:val="en-US"/>
        </w:rPr>
        <w:t xml:space="preserve"> PWS</w:t>
      </w:r>
      <w:r>
        <w:rPr>
          <w:lang w:val="en-US"/>
        </w:rPr>
        <w:t xml:space="preserve"> increases the manufacturer's </w:t>
      </w:r>
      <w:r>
        <w:rPr>
          <w:rFonts w:hint="eastAsia"/>
          <w:lang w:val="en-US"/>
        </w:rPr>
        <w:t xml:space="preserve">warranty </w:t>
      </w:r>
      <w:r>
        <w:rPr>
          <w:lang w:val="en-US"/>
        </w:rPr>
        <w:t>profit by 7.9% and 21.5%, respectively, demonstrating the effectiveness of the strategy.</w:t>
      </w:r>
      <w:r>
        <w:rPr>
          <w:rFonts w:hint="eastAsia"/>
          <w:lang w:val="en-US"/>
        </w:rPr>
        <w:t xml:space="preserve"> </w:t>
      </w:r>
      <w:r>
        <w:rPr>
          <w:lang w:val="en-US"/>
        </w:rPr>
        <w:t>(2)</w:t>
      </w:r>
      <w:r>
        <w:rPr>
          <w:rFonts w:hint="eastAsia"/>
          <w:lang w:val="en-US"/>
        </w:rPr>
        <w:t xml:space="preserve"> </w:t>
      </w:r>
      <w:r>
        <w:rPr>
          <w:lang w:val="en-US"/>
        </w:rPr>
        <w:t>The parameters of the IG</w:t>
      </w:r>
      <w:r>
        <w:rPr>
          <w:rFonts w:hint="eastAsia"/>
          <w:lang w:val="en-US"/>
        </w:rPr>
        <w:t xml:space="preserve"> </w:t>
      </w:r>
      <w:r>
        <w:rPr>
          <w:lang w:val="en-US"/>
        </w:rPr>
        <w:t xml:space="preserve">degradation process have a significant impact on the warranty plan and the manufacturer's warranty profit. For example, when the mean parameter remains constant, a 1% increase in the </w:t>
      </w:r>
      <w:r>
        <w:rPr>
          <w:lang w:val="en-US"/>
        </w:rPr>
        <w:t>shape parameter leads to a 0.82% increase in the manufacturer's warranty profit. Manufacturers should focus on the system's degradation characteristics to formulate scientific</w:t>
      </w:r>
      <w:r>
        <w:rPr>
          <w:rFonts w:hint="eastAsia"/>
          <w:lang w:val="en-US"/>
        </w:rPr>
        <w:t>ally</w:t>
      </w:r>
      <w:r>
        <w:rPr>
          <w:lang w:val="en-US"/>
        </w:rPr>
        <w:t xml:space="preserve"> and rational</w:t>
      </w:r>
      <w:r>
        <w:rPr>
          <w:rFonts w:hint="eastAsia"/>
          <w:lang w:val="en-US"/>
        </w:rPr>
        <w:t>ly designed</w:t>
      </w:r>
      <w:r>
        <w:rPr>
          <w:lang w:val="en-US"/>
        </w:rPr>
        <w:t xml:space="preserve"> warranty plans.</w:t>
      </w:r>
      <w:r>
        <w:rPr>
          <w:rFonts w:hint="eastAsia"/>
          <w:lang w:val="en-US"/>
        </w:rPr>
        <w:t xml:space="preserve"> </w:t>
      </w:r>
      <w:r>
        <w:rPr>
          <w:lang w:val="en-US"/>
        </w:rPr>
        <w:t xml:space="preserve">(3) The values of the initial inspection interval, subsequent inspection interval, and </w:t>
      </w:r>
      <w:r>
        <w:rPr>
          <w:rFonts w:hint="eastAsia"/>
          <w:lang w:val="en-US"/>
        </w:rPr>
        <w:t>PM</w:t>
      </w:r>
      <w:r>
        <w:rPr>
          <w:lang w:val="en-US"/>
        </w:rPr>
        <w:t xml:space="preserve"> threshold should be moderate, neither too large nor too small. In particular, the </w:t>
      </w:r>
      <w:r>
        <w:rPr>
          <w:rFonts w:hint="eastAsia"/>
          <w:lang w:val="en-US"/>
        </w:rPr>
        <w:t>PM</w:t>
      </w:r>
      <w:r>
        <w:rPr>
          <w:lang w:val="en-US"/>
        </w:rPr>
        <w:t xml:space="preserve"> threshold should not be set too high, as this can increase the equipment's failure rate and cause a "plunge" in the manufacturer's warranty profit. Manufacturers should avoid empiricism and use quantitative methods to determine scientific</w:t>
      </w:r>
      <w:r>
        <w:rPr>
          <w:rFonts w:hint="eastAsia"/>
          <w:lang w:val="en-US"/>
        </w:rPr>
        <w:t>ally</w:t>
      </w:r>
      <w:r>
        <w:rPr>
          <w:lang w:val="en-US"/>
        </w:rPr>
        <w:t xml:space="preserve"> and rational</w:t>
      </w:r>
      <w:r>
        <w:rPr>
          <w:rFonts w:hint="eastAsia"/>
          <w:lang w:val="en-US"/>
        </w:rPr>
        <w:t>ly</w:t>
      </w:r>
      <w:r>
        <w:rPr>
          <w:lang w:val="en-US"/>
        </w:rPr>
        <w:t xml:space="preserve"> </w:t>
      </w:r>
      <w:r>
        <w:rPr>
          <w:rFonts w:hint="eastAsia"/>
          <w:lang w:val="en-US"/>
        </w:rPr>
        <w:t xml:space="preserve">appropriate </w:t>
      </w:r>
      <w:r>
        <w:rPr>
          <w:lang w:val="en-US"/>
        </w:rPr>
        <w:t xml:space="preserve">inspection intervals and </w:t>
      </w:r>
      <w:r>
        <w:rPr>
          <w:rFonts w:hint="eastAsia"/>
          <w:lang w:val="en-US"/>
        </w:rPr>
        <w:t>PM</w:t>
      </w:r>
      <w:r>
        <w:rPr>
          <w:lang w:val="en-US"/>
        </w:rPr>
        <w:t xml:space="preserve"> thresholds.</w:t>
      </w:r>
    </w:p>
    <w:p w14:paraId="3F933D23" w14:textId="77777777" w:rsidR="00097C63" w:rsidRDefault="00FB6D14">
      <w:pPr>
        <w:pStyle w:val="tekstgowny"/>
        <w:rPr>
          <w:lang w:val="en-US"/>
        </w:rPr>
      </w:pPr>
      <w:r>
        <w:rPr>
          <w:rFonts w:hint="eastAsia"/>
          <w:lang w:val="en-US"/>
        </w:rPr>
        <w:t>There are several expandable research directions in this study. Firstly, the current model is designed for single-component systems and can be expanded to multi-component systems in the future, with a focus on examining the impact of failure correlation between components on warranty strategies. Secondly, further differentiating the interval between subsequent tests will be a meaningful research topic. Thirdly, developing more efficient intelligent solving algorithms is also a future research direction.</w:t>
      </w:r>
    </w:p>
    <w:p w14:paraId="0D0D3D16" w14:textId="77777777" w:rsidR="00097C63" w:rsidRDefault="00097C63">
      <w:pPr>
        <w:pStyle w:val="tekstgowny"/>
        <w:ind w:firstLine="0"/>
        <w:sectPr w:rsidR="00097C63">
          <w:type w:val="continuous"/>
          <w:pgSz w:w="11906" w:h="16838"/>
          <w:pgMar w:top="1219" w:right="567" w:bottom="1219" w:left="567" w:header="765" w:footer="567" w:gutter="0"/>
          <w:cols w:num="2" w:space="566"/>
          <w:docGrid w:type="linesAndChars" w:linePitch="313" w:charSpace="139"/>
        </w:sectPr>
      </w:pPr>
    </w:p>
    <w:p w14:paraId="47208130" w14:textId="77777777" w:rsidR="00097C63" w:rsidRDefault="00FB6D14">
      <w:pPr>
        <w:pStyle w:val="Nagwek2"/>
      </w:pPr>
      <w:r>
        <w:t>References</w:t>
      </w:r>
    </w:p>
    <w:p w14:paraId="364D835F" w14:textId="4ADDA6E5" w:rsidR="00097C63" w:rsidRDefault="00FB6D14">
      <w:pPr>
        <w:pStyle w:val="bibiografia"/>
        <w:rPr>
          <w:lang w:val="en-US"/>
        </w:rPr>
      </w:pPr>
      <w:r>
        <w:rPr>
          <w:lang w:val="en-US"/>
        </w:rPr>
        <w:t>Dong E, Cheng Z, Liu Z, Zhu X, Wang R, Bai Y. Optimization model for performance-based warranty decision of degraded systems based on improved sparrow search algorithm. Journal of Systems Engineering and Electronics, 2025, 36(5): 1259-1280. https:/</w:t>
      </w:r>
      <w:r w:rsidR="0073091D">
        <w:rPr>
          <w:lang w:val="en-US"/>
        </w:rPr>
        <w:t>/doi: 10.23919/JSEE.2025.000135</w:t>
      </w:r>
      <w:r>
        <w:rPr>
          <w:lang w:val="en-US"/>
        </w:rPr>
        <w:t>.</w:t>
      </w:r>
    </w:p>
    <w:p w14:paraId="56B5A183" w14:textId="77777777" w:rsidR="00097C63" w:rsidRDefault="00FB6D14">
      <w:pPr>
        <w:pStyle w:val="bibiografia"/>
        <w:rPr>
          <w:lang w:val="en-US"/>
        </w:rPr>
      </w:pPr>
      <w:r>
        <w:rPr>
          <w:lang w:val="en-US"/>
        </w:rPr>
        <w:t>Wang X, Liu B, Zhao X. A performance-based warranty for products subject to competing hard and soft failures. International Journal of Production Economics 2021; 233: 107974. https://doi.org/10.1016/j.ijpe.2020.107974.</w:t>
      </w:r>
    </w:p>
    <w:p w14:paraId="1101FBCE" w14:textId="77777777" w:rsidR="00097C63" w:rsidRPr="007C1030" w:rsidRDefault="00FB6D14">
      <w:pPr>
        <w:pStyle w:val="bibiografia"/>
        <w:rPr>
          <w:lang w:val="pl-PL"/>
        </w:rPr>
      </w:pPr>
      <w:r>
        <w:rPr>
          <w:lang w:val="en-US"/>
        </w:rPr>
        <w:t xml:space="preserve">Gao X, Cheng Z, Gao T, Wang R, Jiang K, Dong E. The optimal joint preventive maintenance strategy for the equipment under two-dimensional extended warranty. </w:t>
      </w:r>
      <w:r w:rsidRPr="007C1030">
        <w:rPr>
          <w:lang w:val="pl-PL"/>
        </w:rPr>
        <w:t>Eksploatacja i Niezawodność-Maintenance and Reliability 2025; 27(4): 203763. https://doi.org/10.17531/ein/203763.</w:t>
      </w:r>
    </w:p>
    <w:p w14:paraId="1425BFD1" w14:textId="77777777" w:rsidR="00097C63" w:rsidRPr="007C1030" w:rsidRDefault="00FB6D14">
      <w:pPr>
        <w:pStyle w:val="bibiografia"/>
        <w:rPr>
          <w:color w:val="000000" w:themeColor="text1"/>
          <w:lang w:val="en-US"/>
        </w:rPr>
      </w:pPr>
      <w:r w:rsidRPr="007C1030">
        <w:rPr>
          <w:color w:val="000000" w:themeColor="text1"/>
          <w:lang w:val="en-US"/>
        </w:rPr>
        <w:t>Tan</w:t>
      </w:r>
      <w:r w:rsidRPr="007C1030">
        <w:rPr>
          <w:rFonts w:hint="eastAsia"/>
          <w:color w:val="000000" w:themeColor="text1"/>
          <w:lang w:val="en-US"/>
        </w:rPr>
        <w:t xml:space="preserve"> </w:t>
      </w:r>
      <w:r w:rsidRPr="007C1030">
        <w:rPr>
          <w:color w:val="000000" w:themeColor="text1"/>
          <w:lang w:val="en-US"/>
        </w:rPr>
        <w:t>S, Hu</w:t>
      </w:r>
      <w:r w:rsidRPr="007C1030">
        <w:rPr>
          <w:rFonts w:hint="eastAsia"/>
          <w:color w:val="000000" w:themeColor="text1"/>
          <w:lang w:val="en-US"/>
        </w:rPr>
        <w:t xml:space="preserve"> </w:t>
      </w:r>
      <w:r w:rsidRPr="007C1030">
        <w:rPr>
          <w:color w:val="000000" w:themeColor="text1"/>
          <w:lang w:val="en-US"/>
        </w:rPr>
        <w:t>Q, Guo</w:t>
      </w:r>
      <w:r w:rsidRPr="007C1030">
        <w:rPr>
          <w:rFonts w:hint="eastAsia"/>
          <w:color w:val="000000" w:themeColor="text1"/>
          <w:lang w:val="en-US"/>
        </w:rPr>
        <w:t xml:space="preserve"> </w:t>
      </w:r>
      <w:r w:rsidRPr="007C1030">
        <w:rPr>
          <w:color w:val="000000" w:themeColor="text1"/>
          <w:lang w:val="en-US"/>
        </w:rPr>
        <w:t>C, Zhu</w:t>
      </w:r>
      <w:r w:rsidRPr="007C1030">
        <w:rPr>
          <w:rFonts w:hint="eastAsia"/>
          <w:color w:val="000000" w:themeColor="text1"/>
          <w:lang w:val="en-US"/>
        </w:rPr>
        <w:t xml:space="preserve"> </w:t>
      </w:r>
      <w:r w:rsidRPr="007C1030">
        <w:rPr>
          <w:color w:val="000000" w:themeColor="text1"/>
          <w:lang w:val="en-US"/>
        </w:rPr>
        <w:t>D, Dong</w:t>
      </w:r>
      <w:r w:rsidRPr="007C1030">
        <w:rPr>
          <w:rFonts w:hint="eastAsia"/>
          <w:color w:val="000000" w:themeColor="text1"/>
          <w:lang w:val="en-US"/>
        </w:rPr>
        <w:t xml:space="preserve"> </w:t>
      </w:r>
      <w:r w:rsidRPr="007C1030">
        <w:rPr>
          <w:color w:val="000000" w:themeColor="text1"/>
          <w:lang w:val="en-US"/>
        </w:rPr>
        <w:t>E,</w:t>
      </w:r>
      <w:r w:rsidRPr="007C1030">
        <w:rPr>
          <w:rFonts w:hint="eastAsia"/>
          <w:color w:val="000000" w:themeColor="text1"/>
          <w:lang w:val="en-US"/>
        </w:rPr>
        <w:t xml:space="preserve"> </w:t>
      </w:r>
      <w:r w:rsidRPr="007C1030">
        <w:rPr>
          <w:color w:val="000000" w:themeColor="text1"/>
          <w:lang w:val="en-US"/>
        </w:rPr>
        <w:t>Zhang</w:t>
      </w:r>
      <w:r w:rsidRPr="007C1030">
        <w:rPr>
          <w:rFonts w:hint="eastAsia"/>
          <w:color w:val="000000" w:themeColor="text1"/>
          <w:lang w:val="en-US"/>
        </w:rPr>
        <w:t xml:space="preserve"> </w:t>
      </w:r>
      <w:r w:rsidRPr="007C1030">
        <w:rPr>
          <w:color w:val="000000" w:themeColor="text1"/>
          <w:lang w:val="en-US"/>
        </w:rPr>
        <w:t>F.</w:t>
      </w:r>
      <w:r w:rsidRPr="007C1030">
        <w:rPr>
          <w:rFonts w:hint="eastAsia"/>
          <w:color w:val="000000" w:themeColor="text1"/>
          <w:lang w:val="en-US"/>
        </w:rPr>
        <w:t xml:space="preserve"> </w:t>
      </w:r>
      <w:r w:rsidRPr="007C1030">
        <w:rPr>
          <w:color w:val="000000" w:themeColor="text1"/>
          <w:lang w:val="en-US"/>
        </w:rPr>
        <w:t xml:space="preserve">Operational readiness-oriented condition-based maintenance and spare parts optimization for multi-state systems. Reliability Engineering </w:t>
      </w:r>
      <w:r w:rsidRPr="007C1030">
        <w:rPr>
          <w:rFonts w:hint="eastAsia"/>
          <w:color w:val="000000" w:themeColor="text1"/>
          <w:lang w:val="en-US"/>
        </w:rPr>
        <w:t>and</w:t>
      </w:r>
      <w:r w:rsidRPr="007C1030">
        <w:rPr>
          <w:color w:val="000000" w:themeColor="text1"/>
          <w:lang w:val="en-US"/>
        </w:rPr>
        <w:t xml:space="preserve"> System Safety</w:t>
      </w:r>
      <w:r w:rsidRPr="007C1030">
        <w:rPr>
          <w:rFonts w:hint="eastAsia"/>
          <w:color w:val="000000" w:themeColor="text1"/>
          <w:lang w:val="en-US"/>
        </w:rPr>
        <w:t xml:space="preserve"> 2025; </w:t>
      </w:r>
      <w:r w:rsidRPr="007C1030">
        <w:rPr>
          <w:color w:val="000000" w:themeColor="text1"/>
          <w:lang w:val="en-US"/>
        </w:rPr>
        <w:t>264</w:t>
      </w:r>
      <w:r w:rsidRPr="007C1030">
        <w:rPr>
          <w:rFonts w:hint="eastAsia"/>
          <w:color w:val="000000" w:themeColor="text1"/>
          <w:lang w:val="en-US"/>
        </w:rPr>
        <w:t>:</w:t>
      </w:r>
      <w:r w:rsidRPr="007C1030">
        <w:rPr>
          <w:color w:val="000000" w:themeColor="text1"/>
          <w:lang w:val="en-US"/>
        </w:rPr>
        <w:t xml:space="preserve"> 111367. https://doi.org/10.1016/j.ress.2025.111367.</w:t>
      </w:r>
    </w:p>
    <w:p w14:paraId="073C6E53" w14:textId="77777777" w:rsidR="00097C63" w:rsidRPr="007C1030" w:rsidRDefault="00FB6D14">
      <w:pPr>
        <w:pStyle w:val="bibiografia"/>
        <w:rPr>
          <w:color w:val="000000" w:themeColor="text1"/>
          <w:lang w:val="en-US"/>
        </w:rPr>
      </w:pPr>
      <w:r w:rsidRPr="007C1030">
        <w:rPr>
          <w:color w:val="000000" w:themeColor="text1"/>
          <w:lang w:val="en-US"/>
        </w:rPr>
        <w:t>Kang</w:t>
      </w:r>
      <w:r w:rsidRPr="007C1030">
        <w:rPr>
          <w:rFonts w:hint="eastAsia"/>
          <w:color w:val="000000" w:themeColor="text1"/>
          <w:lang w:val="en-US"/>
        </w:rPr>
        <w:t xml:space="preserve"> </w:t>
      </w:r>
      <w:r w:rsidRPr="007C1030">
        <w:rPr>
          <w:color w:val="000000" w:themeColor="text1"/>
          <w:lang w:val="en-US"/>
        </w:rPr>
        <w:t>J, Wang</w:t>
      </w:r>
      <w:r w:rsidRPr="007C1030">
        <w:rPr>
          <w:rFonts w:hint="eastAsia"/>
          <w:color w:val="000000" w:themeColor="text1"/>
          <w:lang w:val="en-US"/>
        </w:rPr>
        <w:t xml:space="preserve"> </w:t>
      </w:r>
      <w:r w:rsidRPr="007C1030">
        <w:rPr>
          <w:color w:val="000000" w:themeColor="text1"/>
          <w:lang w:val="en-US"/>
        </w:rPr>
        <w:t>Z, Soares C</w:t>
      </w:r>
      <w:r w:rsidRPr="007C1030">
        <w:rPr>
          <w:rFonts w:hint="eastAsia"/>
          <w:color w:val="000000" w:themeColor="text1"/>
          <w:lang w:val="en-US"/>
        </w:rPr>
        <w:t xml:space="preserve"> G</w:t>
      </w:r>
      <w:r w:rsidRPr="007C1030">
        <w:rPr>
          <w:color w:val="000000" w:themeColor="text1"/>
          <w:lang w:val="en-US"/>
        </w:rPr>
        <w:t>. Condition-Based Maintenance for Offshore Wind Turbines Based on Support Vector Machine. Energies</w:t>
      </w:r>
      <w:r w:rsidRPr="007C1030">
        <w:rPr>
          <w:rFonts w:hint="eastAsia"/>
          <w:color w:val="000000" w:themeColor="text1"/>
          <w:lang w:val="en-US"/>
        </w:rPr>
        <w:t xml:space="preserve"> 2020;</w:t>
      </w:r>
      <w:r w:rsidRPr="007C1030">
        <w:rPr>
          <w:color w:val="000000" w:themeColor="text1"/>
          <w:lang w:val="en-US"/>
        </w:rPr>
        <w:t xml:space="preserve"> 13(14)</w:t>
      </w:r>
      <w:r w:rsidRPr="007C1030">
        <w:rPr>
          <w:rFonts w:hint="eastAsia"/>
          <w:color w:val="000000" w:themeColor="text1"/>
          <w:lang w:val="en-US"/>
        </w:rPr>
        <w:t>:</w:t>
      </w:r>
      <w:r w:rsidRPr="007C1030">
        <w:rPr>
          <w:color w:val="000000" w:themeColor="text1"/>
          <w:lang w:val="en-US"/>
        </w:rPr>
        <w:t xml:space="preserve"> 3518. https://doi.org/10.3390/en13143518.</w:t>
      </w:r>
    </w:p>
    <w:p w14:paraId="34611EE0" w14:textId="0C41CDDD" w:rsidR="00097C63" w:rsidRPr="007C1030" w:rsidRDefault="00FB6D14">
      <w:pPr>
        <w:pStyle w:val="bibiografia"/>
        <w:rPr>
          <w:color w:val="000000" w:themeColor="text1"/>
          <w:lang w:val="en-US"/>
        </w:rPr>
      </w:pPr>
      <w:r w:rsidRPr="007C1030">
        <w:rPr>
          <w:color w:val="000000" w:themeColor="text1"/>
          <w:lang w:val="en-US"/>
        </w:rPr>
        <w:t>Dong E, Cheng Z, Liu Z, Zhu X, Wang R, Bai Y. Optimization model for performance-based warranty decision of degraded systems based on improved sparrow search algorithm. Journal of Systems Engineering and Electronics</w:t>
      </w:r>
      <w:r w:rsidRPr="007C1030">
        <w:rPr>
          <w:rFonts w:hint="eastAsia"/>
          <w:color w:val="000000" w:themeColor="text1"/>
          <w:lang w:val="en-US"/>
        </w:rPr>
        <w:t xml:space="preserve"> </w:t>
      </w:r>
      <w:r w:rsidRPr="007C1030">
        <w:rPr>
          <w:color w:val="000000" w:themeColor="text1"/>
          <w:lang w:val="en-US"/>
        </w:rPr>
        <w:t>2025</w:t>
      </w:r>
      <w:r w:rsidRPr="007C1030">
        <w:rPr>
          <w:rFonts w:hint="eastAsia"/>
          <w:color w:val="000000" w:themeColor="text1"/>
          <w:lang w:val="en-US"/>
        </w:rPr>
        <w:t>;</w:t>
      </w:r>
      <w:r w:rsidRPr="007C1030">
        <w:rPr>
          <w:color w:val="000000" w:themeColor="text1"/>
          <w:lang w:val="en-US"/>
        </w:rPr>
        <w:t xml:space="preserve"> 36(5)</w:t>
      </w:r>
      <w:r w:rsidRPr="007C1030">
        <w:rPr>
          <w:rFonts w:hint="eastAsia"/>
          <w:color w:val="000000" w:themeColor="text1"/>
          <w:lang w:val="en-US"/>
        </w:rPr>
        <w:t>:</w:t>
      </w:r>
      <w:r w:rsidRPr="007C1030">
        <w:rPr>
          <w:color w:val="000000" w:themeColor="text1"/>
          <w:lang w:val="en-US"/>
        </w:rPr>
        <w:t xml:space="preserve"> 1259</w:t>
      </w:r>
      <w:r w:rsidR="007C1030" w:rsidRPr="007C1030">
        <w:rPr>
          <w:color w:val="000000" w:themeColor="text1"/>
          <w:lang w:val="en-US"/>
        </w:rPr>
        <w:t>–</w:t>
      </w:r>
      <w:r w:rsidRPr="007C1030">
        <w:rPr>
          <w:color w:val="000000" w:themeColor="text1"/>
          <w:lang w:val="en-US"/>
        </w:rPr>
        <w:t>1280. https://doi.org/10.23919/JSEE.2025.000135.</w:t>
      </w:r>
    </w:p>
    <w:p w14:paraId="0CEA3E1C" w14:textId="230AE171" w:rsidR="00097C63" w:rsidRPr="007C1030" w:rsidRDefault="00FB6D14">
      <w:pPr>
        <w:pStyle w:val="bibiografia"/>
        <w:rPr>
          <w:color w:val="000000" w:themeColor="text1"/>
          <w:lang w:val="en-US"/>
        </w:rPr>
      </w:pPr>
      <w:r w:rsidRPr="007C1030">
        <w:rPr>
          <w:rFonts w:hint="eastAsia"/>
          <w:color w:val="000000" w:themeColor="text1"/>
          <w:lang w:val="en-US"/>
        </w:rPr>
        <w:t>Hypko P, Tilebein M, Gleich R. Clarifying the concept of performance-based contracting in manufacturing industries. Journal of Service Management 2010; 21(5): 625</w:t>
      </w:r>
      <w:r w:rsidR="007C1030" w:rsidRPr="007C1030">
        <w:rPr>
          <w:color w:val="000000" w:themeColor="text1"/>
          <w:lang w:val="en-US"/>
        </w:rPr>
        <w:t>–</w:t>
      </w:r>
      <w:r w:rsidRPr="007C1030">
        <w:rPr>
          <w:rFonts w:hint="eastAsia"/>
          <w:color w:val="000000" w:themeColor="text1"/>
          <w:lang w:val="en-US"/>
        </w:rPr>
        <w:t>655. https://doi.org/10.1108/09564231011079075</w:t>
      </w:r>
      <w:r w:rsidRPr="007C1030">
        <w:rPr>
          <w:color w:val="000000" w:themeColor="text1"/>
          <w:lang w:val="en-US"/>
        </w:rPr>
        <w:t>.</w:t>
      </w:r>
    </w:p>
    <w:p w14:paraId="115D7DA2" w14:textId="4A91F66C" w:rsidR="00097C63" w:rsidRPr="007C1030" w:rsidRDefault="00FB6D14">
      <w:pPr>
        <w:pStyle w:val="bibiografia"/>
        <w:rPr>
          <w:color w:val="000000" w:themeColor="text1"/>
          <w:lang w:val="en-US"/>
        </w:rPr>
      </w:pPr>
      <w:r w:rsidRPr="007C1030">
        <w:rPr>
          <w:rFonts w:hint="eastAsia"/>
          <w:color w:val="000000" w:themeColor="text1"/>
          <w:lang w:val="en-US"/>
        </w:rPr>
        <w:t xml:space="preserve">Randall W S, Pohlen T L, Hanna J B. </w:t>
      </w:r>
      <w:r w:rsidRPr="007C1030">
        <w:rPr>
          <w:color w:val="000000" w:themeColor="text1"/>
          <w:lang w:val="en-US"/>
        </w:rPr>
        <w:t>Evolving a theory of performance</w:t>
      </w:r>
      <w:r w:rsidRPr="007C1030">
        <w:rPr>
          <w:rFonts w:hint="eastAsia"/>
          <w:color w:val="000000" w:themeColor="text1"/>
          <w:lang w:val="en-US"/>
        </w:rPr>
        <w:t>‐</w:t>
      </w:r>
      <w:r w:rsidRPr="007C1030">
        <w:rPr>
          <w:color w:val="000000" w:themeColor="text1"/>
          <w:lang w:val="en-US"/>
        </w:rPr>
        <w:t>based logistics using insights from service dominant logic</w:t>
      </w:r>
      <w:r w:rsidRPr="007C1030">
        <w:rPr>
          <w:rFonts w:hint="eastAsia"/>
          <w:color w:val="000000" w:themeColor="text1"/>
          <w:lang w:val="en-US"/>
        </w:rPr>
        <w:t>. Journal of Business Logistics 2010; 31(2): 35</w:t>
      </w:r>
      <w:r w:rsidR="007C1030" w:rsidRPr="007C1030">
        <w:rPr>
          <w:color w:val="000000" w:themeColor="text1"/>
          <w:lang w:val="en-US"/>
        </w:rPr>
        <w:t>–</w:t>
      </w:r>
      <w:r w:rsidRPr="007C1030">
        <w:rPr>
          <w:rFonts w:hint="eastAsia"/>
          <w:color w:val="000000" w:themeColor="text1"/>
          <w:lang w:val="en-US"/>
        </w:rPr>
        <w:t>61. https://doi.org/10.1002/j.2158-1592.2010.tb00142.x</w:t>
      </w:r>
      <w:r w:rsidRPr="007C1030">
        <w:rPr>
          <w:color w:val="000000" w:themeColor="text1"/>
          <w:lang w:val="en-US"/>
        </w:rPr>
        <w:t>.</w:t>
      </w:r>
    </w:p>
    <w:p w14:paraId="4AA971F0" w14:textId="1F7A3AEF" w:rsidR="00097C63" w:rsidRPr="007C1030" w:rsidRDefault="00FB6D14">
      <w:pPr>
        <w:pStyle w:val="bibiografia"/>
        <w:rPr>
          <w:color w:val="000000" w:themeColor="text1"/>
          <w:lang w:val="en-US"/>
        </w:rPr>
      </w:pPr>
      <w:r w:rsidRPr="007C1030">
        <w:rPr>
          <w:color w:val="000000" w:themeColor="text1"/>
          <w:lang w:val="en-US"/>
        </w:rPr>
        <w:t xml:space="preserve">Tan, B. Design of balanced energy savings performance contracts. International Journal of Production Research </w:t>
      </w:r>
      <w:r w:rsidRPr="007C1030">
        <w:rPr>
          <w:rFonts w:hint="eastAsia"/>
          <w:color w:val="000000" w:themeColor="text1"/>
          <w:lang w:val="en-US"/>
        </w:rPr>
        <w:t xml:space="preserve">2019; </w:t>
      </w:r>
      <w:r w:rsidRPr="007C1030">
        <w:rPr>
          <w:color w:val="000000" w:themeColor="text1"/>
          <w:lang w:val="en-US"/>
        </w:rPr>
        <w:t>58(5)</w:t>
      </w:r>
      <w:r w:rsidRPr="007C1030">
        <w:rPr>
          <w:rFonts w:hint="eastAsia"/>
          <w:color w:val="000000" w:themeColor="text1"/>
          <w:lang w:val="en-US"/>
        </w:rPr>
        <w:t xml:space="preserve">: </w:t>
      </w:r>
      <w:r w:rsidRPr="007C1030">
        <w:rPr>
          <w:color w:val="000000" w:themeColor="text1"/>
          <w:lang w:val="en-US"/>
        </w:rPr>
        <w:t>1401</w:t>
      </w:r>
      <w:r w:rsidR="007C1030" w:rsidRPr="007C1030">
        <w:rPr>
          <w:color w:val="000000" w:themeColor="text1"/>
          <w:lang w:val="en-US"/>
        </w:rPr>
        <w:t>–</w:t>
      </w:r>
      <w:r w:rsidRPr="007C1030">
        <w:rPr>
          <w:color w:val="000000" w:themeColor="text1"/>
          <w:lang w:val="en-US"/>
        </w:rPr>
        <w:t>1424. https://doi.org/10.1080/00207543.2019.1641240.</w:t>
      </w:r>
    </w:p>
    <w:p w14:paraId="6184E5F8" w14:textId="6E0AA0BD" w:rsidR="00097C63" w:rsidRPr="007C1030" w:rsidRDefault="00FB6D14">
      <w:pPr>
        <w:pStyle w:val="bibiografia"/>
        <w:rPr>
          <w:color w:val="000000" w:themeColor="text1"/>
          <w:lang w:val="en-US"/>
        </w:rPr>
      </w:pPr>
      <w:r w:rsidRPr="007C1030">
        <w:rPr>
          <w:color w:val="000000" w:themeColor="text1"/>
          <w:lang w:val="en-US"/>
        </w:rPr>
        <w:lastRenderedPageBreak/>
        <w:t>Akkermans H, van Oppen</w:t>
      </w:r>
      <w:r w:rsidRPr="007C1030">
        <w:rPr>
          <w:rFonts w:hint="eastAsia"/>
          <w:color w:val="000000" w:themeColor="text1"/>
          <w:lang w:val="en-US"/>
        </w:rPr>
        <w:t xml:space="preserve"> </w:t>
      </w:r>
      <w:r w:rsidRPr="007C1030">
        <w:rPr>
          <w:color w:val="000000" w:themeColor="text1"/>
          <w:lang w:val="en-US"/>
        </w:rPr>
        <w:t>W, Wynstra F, Voss C. Contracting outsourced services with collaborative key performance indicators. Journal of Operations Management</w:t>
      </w:r>
      <w:r w:rsidRPr="007C1030">
        <w:rPr>
          <w:rFonts w:hint="eastAsia"/>
          <w:color w:val="000000" w:themeColor="text1"/>
          <w:lang w:val="en-US"/>
        </w:rPr>
        <w:t xml:space="preserve"> 2019; </w:t>
      </w:r>
      <w:r w:rsidRPr="007C1030">
        <w:rPr>
          <w:color w:val="000000" w:themeColor="text1"/>
          <w:lang w:val="en-US"/>
        </w:rPr>
        <w:t>65(1)</w:t>
      </w:r>
      <w:r w:rsidRPr="007C1030">
        <w:rPr>
          <w:rFonts w:hint="eastAsia"/>
          <w:color w:val="000000" w:themeColor="text1"/>
          <w:lang w:val="en-US"/>
        </w:rPr>
        <w:t>:</w:t>
      </w:r>
      <w:r w:rsidRPr="007C1030">
        <w:rPr>
          <w:color w:val="000000" w:themeColor="text1"/>
          <w:lang w:val="en-US"/>
        </w:rPr>
        <w:t xml:space="preserve"> 22</w:t>
      </w:r>
      <w:r w:rsidR="007C1030" w:rsidRPr="007C1030">
        <w:rPr>
          <w:color w:val="000000" w:themeColor="text1"/>
          <w:lang w:val="en-US"/>
        </w:rPr>
        <w:t>–</w:t>
      </w:r>
      <w:r w:rsidRPr="007C1030">
        <w:rPr>
          <w:color w:val="000000" w:themeColor="text1"/>
          <w:lang w:val="en-US"/>
        </w:rPr>
        <w:t>47. https://doi.org/10.1002/joom.1002.</w:t>
      </w:r>
    </w:p>
    <w:p w14:paraId="42773682" w14:textId="383C2C66" w:rsidR="00097C63" w:rsidRPr="007C1030" w:rsidRDefault="00FB6D14">
      <w:pPr>
        <w:pStyle w:val="bibiografia"/>
        <w:rPr>
          <w:color w:val="000000" w:themeColor="text1"/>
          <w:lang w:val="en-US"/>
        </w:rPr>
      </w:pPr>
      <w:r w:rsidRPr="007C1030">
        <w:rPr>
          <w:color w:val="000000" w:themeColor="text1"/>
          <w:lang w:val="en-US"/>
        </w:rPr>
        <w:t>Selviaridis</w:t>
      </w:r>
      <w:r w:rsidRPr="007C1030">
        <w:rPr>
          <w:rFonts w:hint="eastAsia"/>
          <w:color w:val="000000" w:themeColor="text1"/>
          <w:lang w:val="en-US"/>
        </w:rPr>
        <w:t xml:space="preserve"> </w:t>
      </w:r>
      <w:r w:rsidRPr="007C1030">
        <w:rPr>
          <w:color w:val="000000" w:themeColor="text1"/>
          <w:lang w:val="en-US"/>
        </w:rPr>
        <w:t xml:space="preserve">K, </w:t>
      </w:r>
      <w:r w:rsidRPr="007C1030">
        <w:rPr>
          <w:rFonts w:hint="eastAsia"/>
          <w:color w:val="000000" w:themeColor="text1"/>
          <w:lang w:val="en-US"/>
        </w:rPr>
        <w:t xml:space="preserve"> </w:t>
      </w:r>
      <w:r w:rsidRPr="007C1030">
        <w:rPr>
          <w:color w:val="000000" w:themeColor="text1"/>
          <w:lang w:val="en-US"/>
        </w:rPr>
        <w:t>van der Valk</w:t>
      </w:r>
      <w:r w:rsidRPr="007C1030">
        <w:rPr>
          <w:rFonts w:hint="eastAsia"/>
          <w:color w:val="000000" w:themeColor="text1"/>
          <w:lang w:val="en-US"/>
        </w:rPr>
        <w:t xml:space="preserve"> </w:t>
      </w:r>
      <w:r w:rsidRPr="007C1030">
        <w:rPr>
          <w:color w:val="000000" w:themeColor="text1"/>
          <w:lang w:val="en-US"/>
        </w:rPr>
        <w:t>W. Framing contractual performance incentives: effects on supplier behaviour. International Journal of Operations &amp;amp; Production Management</w:t>
      </w:r>
      <w:r w:rsidRPr="007C1030">
        <w:rPr>
          <w:rFonts w:hint="eastAsia"/>
          <w:color w:val="000000" w:themeColor="text1"/>
          <w:lang w:val="en-US"/>
        </w:rPr>
        <w:t xml:space="preserve"> 2019;</w:t>
      </w:r>
      <w:r w:rsidRPr="007C1030">
        <w:rPr>
          <w:color w:val="000000" w:themeColor="text1"/>
          <w:lang w:val="en-US"/>
        </w:rPr>
        <w:t xml:space="preserve"> 39(2)</w:t>
      </w:r>
      <w:r w:rsidRPr="007C1030">
        <w:rPr>
          <w:rFonts w:hint="eastAsia"/>
          <w:color w:val="000000" w:themeColor="text1"/>
          <w:lang w:val="en-US"/>
        </w:rPr>
        <w:t>:</w:t>
      </w:r>
      <w:r w:rsidRPr="007C1030">
        <w:rPr>
          <w:color w:val="000000" w:themeColor="text1"/>
          <w:lang w:val="en-US"/>
        </w:rPr>
        <w:t xml:space="preserve"> 190</w:t>
      </w:r>
      <w:r w:rsidR="007C1030" w:rsidRPr="007C1030">
        <w:rPr>
          <w:color w:val="000000" w:themeColor="text1"/>
          <w:lang w:val="en-US"/>
        </w:rPr>
        <w:t>–</w:t>
      </w:r>
      <w:r w:rsidRPr="007C1030">
        <w:rPr>
          <w:color w:val="000000" w:themeColor="text1"/>
          <w:lang w:val="en-US"/>
        </w:rPr>
        <w:t>213. https://doi.org/10.1108/ijopm-10-2017-0586.</w:t>
      </w:r>
    </w:p>
    <w:p w14:paraId="7272E3C7" w14:textId="05DE0F05" w:rsidR="00097C63" w:rsidRPr="007C1030" w:rsidRDefault="00FB6D14">
      <w:pPr>
        <w:pStyle w:val="bibiografia"/>
        <w:rPr>
          <w:color w:val="000000" w:themeColor="text1"/>
          <w:lang w:val="en-US"/>
        </w:rPr>
      </w:pPr>
      <w:r w:rsidRPr="007C1030">
        <w:rPr>
          <w:color w:val="000000" w:themeColor="text1"/>
          <w:lang w:val="en-US"/>
        </w:rPr>
        <w:t>Batista</w:t>
      </w:r>
      <w:r w:rsidRPr="007C1030">
        <w:rPr>
          <w:rFonts w:hint="eastAsia"/>
          <w:color w:val="000000" w:themeColor="text1"/>
          <w:lang w:val="en-US"/>
        </w:rPr>
        <w:t xml:space="preserve"> </w:t>
      </w:r>
      <w:r w:rsidRPr="007C1030">
        <w:rPr>
          <w:color w:val="000000" w:themeColor="text1"/>
          <w:lang w:val="en-US"/>
        </w:rPr>
        <w:t>L, Davis-Poynter</w:t>
      </w:r>
      <w:r w:rsidRPr="007C1030">
        <w:rPr>
          <w:rFonts w:hint="eastAsia"/>
          <w:color w:val="000000" w:themeColor="text1"/>
          <w:lang w:val="en-US"/>
        </w:rPr>
        <w:t xml:space="preserve"> </w:t>
      </w:r>
      <w:r w:rsidRPr="007C1030">
        <w:rPr>
          <w:color w:val="000000" w:themeColor="text1"/>
          <w:lang w:val="en-US"/>
        </w:rPr>
        <w:t>S, Ng</w:t>
      </w:r>
      <w:r w:rsidRPr="007C1030">
        <w:rPr>
          <w:rFonts w:hint="eastAsia"/>
          <w:color w:val="000000" w:themeColor="text1"/>
          <w:lang w:val="en-US"/>
        </w:rPr>
        <w:t xml:space="preserve"> </w:t>
      </w:r>
      <w:r w:rsidRPr="007C1030">
        <w:rPr>
          <w:color w:val="000000" w:themeColor="text1"/>
          <w:lang w:val="en-US"/>
        </w:rPr>
        <w:t>I, Maull</w:t>
      </w:r>
      <w:r w:rsidRPr="007C1030">
        <w:rPr>
          <w:rFonts w:hint="eastAsia"/>
          <w:color w:val="000000" w:themeColor="text1"/>
          <w:lang w:val="en-US"/>
        </w:rPr>
        <w:t xml:space="preserve"> </w:t>
      </w:r>
      <w:r w:rsidRPr="007C1030">
        <w:rPr>
          <w:color w:val="000000" w:themeColor="text1"/>
          <w:lang w:val="en-US"/>
        </w:rPr>
        <w:t>R. Servitization through outcome-based contract – A systems perspective from the defence industry. International Journal of Production Economics</w:t>
      </w:r>
      <w:r w:rsidRPr="007C1030">
        <w:rPr>
          <w:rFonts w:hint="eastAsia"/>
          <w:color w:val="000000" w:themeColor="text1"/>
          <w:lang w:val="en-US"/>
        </w:rPr>
        <w:t xml:space="preserve"> 2017; </w:t>
      </w:r>
      <w:r w:rsidRPr="007C1030">
        <w:rPr>
          <w:color w:val="000000" w:themeColor="text1"/>
          <w:lang w:val="en-US"/>
        </w:rPr>
        <w:t>19</w:t>
      </w:r>
      <w:r w:rsidRPr="007C1030">
        <w:rPr>
          <w:rFonts w:hint="eastAsia"/>
          <w:color w:val="000000" w:themeColor="text1"/>
          <w:lang w:val="en-US"/>
        </w:rPr>
        <w:t>2:</w:t>
      </w:r>
      <w:r w:rsidRPr="007C1030">
        <w:rPr>
          <w:color w:val="000000" w:themeColor="text1"/>
          <w:lang w:val="en-US"/>
        </w:rPr>
        <w:t xml:space="preserve"> 133</w:t>
      </w:r>
      <w:r w:rsidR="007C1030" w:rsidRPr="007C1030">
        <w:rPr>
          <w:color w:val="000000" w:themeColor="text1"/>
          <w:lang w:val="en-US"/>
        </w:rPr>
        <w:t>–</w:t>
      </w:r>
      <w:r w:rsidRPr="007C1030">
        <w:rPr>
          <w:color w:val="000000" w:themeColor="text1"/>
          <w:lang w:val="en-US"/>
        </w:rPr>
        <w:t>143. https://doi.org/10.1016/j.ijpe.2016.12.005.</w:t>
      </w:r>
    </w:p>
    <w:p w14:paraId="3C993F3B" w14:textId="77777777" w:rsidR="00097C63" w:rsidRPr="007C1030" w:rsidRDefault="00FB6D14">
      <w:pPr>
        <w:pStyle w:val="bibiografia"/>
        <w:rPr>
          <w:color w:val="000000" w:themeColor="text1"/>
          <w:lang w:val="en-US"/>
        </w:rPr>
      </w:pPr>
      <w:r w:rsidRPr="007C1030">
        <w:rPr>
          <w:color w:val="000000" w:themeColor="text1"/>
          <w:lang w:val="en-US"/>
        </w:rPr>
        <w:t>Guajardo J A, Cohen</w:t>
      </w:r>
      <w:r w:rsidRPr="007C1030">
        <w:rPr>
          <w:rFonts w:hint="eastAsia"/>
          <w:color w:val="000000" w:themeColor="text1"/>
          <w:lang w:val="en-US"/>
        </w:rPr>
        <w:t xml:space="preserve"> </w:t>
      </w:r>
      <w:r w:rsidRPr="007C1030">
        <w:rPr>
          <w:color w:val="000000" w:themeColor="text1"/>
          <w:lang w:val="en-US"/>
        </w:rPr>
        <w:t>M</w:t>
      </w:r>
      <w:r w:rsidRPr="007C1030">
        <w:rPr>
          <w:rFonts w:hint="eastAsia"/>
          <w:color w:val="000000" w:themeColor="text1"/>
          <w:lang w:val="en-US"/>
        </w:rPr>
        <w:t xml:space="preserve"> </w:t>
      </w:r>
      <w:r w:rsidRPr="007C1030">
        <w:rPr>
          <w:color w:val="000000" w:themeColor="text1"/>
          <w:lang w:val="en-US"/>
        </w:rPr>
        <w:t>A, Kim</w:t>
      </w:r>
      <w:r w:rsidRPr="007C1030">
        <w:rPr>
          <w:rFonts w:hint="eastAsia"/>
          <w:color w:val="000000" w:themeColor="text1"/>
          <w:lang w:val="en-US"/>
        </w:rPr>
        <w:t xml:space="preserve"> </w:t>
      </w:r>
      <w:r w:rsidRPr="007C1030">
        <w:rPr>
          <w:color w:val="000000" w:themeColor="text1"/>
          <w:lang w:val="en-US"/>
        </w:rPr>
        <w:t>S</w:t>
      </w:r>
      <w:r w:rsidRPr="007C1030">
        <w:rPr>
          <w:rFonts w:hint="eastAsia"/>
          <w:color w:val="000000" w:themeColor="text1"/>
          <w:lang w:val="en-US"/>
        </w:rPr>
        <w:t xml:space="preserve"> </w:t>
      </w:r>
      <w:r w:rsidRPr="007C1030">
        <w:rPr>
          <w:color w:val="000000" w:themeColor="text1"/>
          <w:lang w:val="en-US"/>
        </w:rPr>
        <w:t>H,</w:t>
      </w:r>
      <w:r w:rsidRPr="007C1030">
        <w:rPr>
          <w:rFonts w:hint="eastAsia"/>
          <w:color w:val="000000" w:themeColor="text1"/>
          <w:lang w:val="en-US"/>
        </w:rPr>
        <w:t xml:space="preserve"> </w:t>
      </w:r>
      <w:r w:rsidRPr="007C1030">
        <w:rPr>
          <w:color w:val="000000" w:themeColor="text1"/>
          <w:lang w:val="en-US"/>
        </w:rPr>
        <w:t>Netessine S. Impact of Performance-Based Contracting on Product Reliability: An Empirical Analysis. SSRN Electronic Journal</w:t>
      </w:r>
      <w:r w:rsidRPr="007C1030">
        <w:rPr>
          <w:rFonts w:hint="eastAsia"/>
          <w:color w:val="000000" w:themeColor="text1"/>
          <w:lang w:val="en-US"/>
        </w:rPr>
        <w:t xml:space="preserve"> 2011;</w:t>
      </w:r>
      <w:r w:rsidRPr="007C1030">
        <w:rPr>
          <w:color w:val="000000" w:themeColor="text1"/>
          <w:lang w:val="en-US"/>
        </w:rPr>
        <w:t xml:space="preserve"> https://doi.org/10.2139/ssrn.1807049.</w:t>
      </w:r>
    </w:p>
    <w:p w14:paraId="5E1B90AD" w14:textId="29A23221" w:rsidR="00097C63" w:rsidRPr="007C1030" w:rsidRDefault="00FB6D14">
      <w:pPr>
        <w:pStyle w:val="bibiografia"/>
        <w:rPr>
          <w:color w:val="000000" w:themeColor="text1"/>
          <w:lang w:val="en-US"/>
        </w:rPr>
      </w:pPr>
      <w:r w:rsidRPr="007C1030">
        <w:rPr>
          <w:rFonts w:hint="eastAsia"/>
          <w:color w:val="000000" w:themeColor="text1"/>
          <w:lang w:val="en-US"/>
        </w:rPr>
        <w:t>Hypko P, Tilebein M, Gleich R. Benefits and uncertainties of performance</w:t>
      </w:r>
      <w:r w:rsidRPr="007C1030">
        <w:rPr>
          <w:rFonts w:hint="eastAsia"/>
          <w:color w:val="000000" w:themeColor="text1"/>
          <w:lang w:val="en-US"/>
        </w:rPr>
        <w:t>‐</w:t>
      </w:r>
      <w:r w:rsidRPr="007C1030">
        <w:rPr>
          <w:rFonts w:hint="eastAsia"/>
          <w:color w:val="000000" w:themeColor="text1"/>
          <w:lang w:val="en-US"/>
        </w:rPr>
        <w:t>based contracting in manufacturing industries. Journal of Service Management 2010; 21(4): 460</w:t>
      </w:r>
      <w:r w:rsidR="007C1030" w:rsidRPr="007C1030">
        <w:rPr>
          <w:color w:val="000000" w:themeColor="text1"/>
          <w:lang w:val="en-US"/>
        </w:rPr>
        <w:t>–</w:t>
      </w:r>
      <w:r w:rsidRPr="007C1030">
        <w:rPr>
          <w:rFonts w:hint="eastAsia"/>
          <w:color w:val="000000" w:themeColor="text1"/>
          <w:lang w:val="en-US"/>
        </w:rPr>
        <w:t>489. https://doi.org/10.1108/09564231011066114</w:t>
      </w:r>
      <w:r w:rsidRPr="007C1030">
        <w:rPr>
          <w:color w:val="000000" w:themeColor="text1"/>
          <w:lang w:val="en-US"/>
        </w:rPr>
        <w:t>.</w:t>
      </w:r>
    </w:p>
    <w:p w14:paraId="628A194F" w14:textId="4FC3F1D0" w:rsidR="00097C63" w:rsidRPr="007C1030" w:rsidRDefault="00FB6D14">
      <w:pPr>
        <w:pStyle w:val="bibiografia"/>
        <w:rPr>
          <w:color w:val="000000" w:themeColor="text1"/>
          <w:lang w:val="en-US"/>
        </w:rPr>
      </w:pPr>
      <w:r w:rsidRPr="007C1030">
        <w:rPr>
          <w:color w:val="000000" w:themeColor="text1"/>
          <w:lang w:val="en-US"/>
        </w:rPr>
        <w:t>Schaefers T, Ruffer S, Böhm</w:t>
      </w:r>
      <w:r w:rsidRPr="007C1030">
        <w:rPr>
          <w:rFonts w:hint="eastAsia"/>
          <w:color w:val="000000" w:themeColor="text1"/>
          <w:lang w:val="en-US"/>
        </w:rPr>
        <w:t xml:space="preserve"> </w:t>
      </w:r>
      <w:r w:rsidRPr="007C1030">
        <w:rPr>
          <w:color w:val="000000" w:themeColor="text1"/>
          <w:lang w:val="en-US"/>
        </w:rPr>
        <w:t>E. Outcome-based contracting from the customers’ perspective: A means-end chain analytical exploration. Industrial Marketing Management</w:t>
      </w:r>
      <w:r w:rsidRPr="007C1030">
        <w:rPr>
          <w:rFonts w:hint="eastAsia"/>
          <w:color w:val="000000" w:themeColor="text1"/>
          <w:lang w:val="en-US"/>
        </w:rPr>
        <w:t xml:space="preserve"> 2021;</w:t>
      </w:r>
      <w:r w:rsidRPr="007C1030">
        <w:rPr>
          <w:color w:val="000000" w:themeColor="text1"/>
          <w:lang w:val="en-US"/>
        </w:rPr>
        <w:t xml:space="preserve"> 93</w:t>
      </w:r>
      <w:r w:rsidRPr="007C1030">
        <w:rPr>
          <w:rFonts w:hint="eastAsia"/>
          <w:color w:val="000000" w:themeColor="text1"/>
          <w:lang w:val="en-US"/>
        </w:rPr>
        <w:t xml:space="preserve">: </w:t>
      </w:r>
      <w:r w:rsidRPr="007C1030">
        <w:rPr>
          <w:color w:val="000000" w:themeColor="text1"/>
          <w:lang w:val="en-US"/>
        </w:rPr>
        <w:t>466</w:t>
      </w:r>
      <w:r w:rsidR="007C1030" w:rsidRPr="007C1030">
        <w:rPr>
          <w:color w:val="000000" w:themeColor="text1"/>
          <w:lang w:val="en-US"/>
        </w:rPr>
        <w:t>–</w:t>
      </w:r>
      <w:r w:rsidRPr="007C1030">
        <w:rPr>
          <w:color w:val="000000" w:themeColor="text1"/>
          <w:lang w:val="en-US"/>
        </w:rPr>
        <w:t>481. https://doi.org/10.1016/j.indmarman.2020.06.002.</w:t>
      </w:r>
    </w:p>
    <w:p w14:paraId="66F9CB15" w14:textId="19D15FC9" w:rsidR="00097C63" w:rsidRPr="007C1030" w:rsidRDefault="00FB6D14">
      <w:pPr>
        <w:pStyle w:val="bibiografia"/>
        <w:rPr>
          <w:color w:val="000000" w:themeColor="text1"/>
          <w:lang w:val="en-US"/>
        </w:rPr>
      </w:pPr>
      <w:r w:rsidRPr="007C1030">
        <w:rPr>
          <w:color w:val="000000" w:themeColor="text1"/>
          <w:lang w:val="en-US"/>
        </w:rPr>
        <w:t>Korkeamäki</w:t>
      </w:r>
      <w:r w:rsidRPr="007C1030">
        <w:rPr>
          <w:rFonts w:hint="eastAsia"/>
          <w:color w:val="000000" w:themeColor="text1"/>
          <w:lang w:val="en-US"/>
        </w:rPr>
        <w:t xml:space="preserve"> </w:t>
      </w:r>
      <w:r w:rsidRPr="007C1030">
        <w:rPr>
          <w:color w:val="000000" w:themeColor="text1"/>
          <w:lang w:val="en-US"/>
        </w:rPr>
        <w:t>L, Kohtamäki</w:t>
      </w:r>
      <w:r w:rsidRPr="007C1030">
        <w:rPr>
          <w:rFonts w:hint="eastAsia"/>
          <w:color w:val="000000" w:themeColor="text1"/>
          <w:lang w:val="en-US"/>
        </w:rPr>
        <w:t xml:space="preserve"> </w:t>
      </w:r>
      <w:r w:rsidRPr="007C1030">
        <w:rPr>
          <w:color w:val="000000" w:themeColor="text1"/>
          <w:lang w:val="en-US"/>
        </w:rPr>
        <w:t>M, Parida V. Worth the risk? The profit impact of outcome-based service offerings for manufacturing firms. Journal of Business Research</w:t>
      </w:r>
      <w:r w:rsidRPr="007C1030">
        <w:rPr>
          <w:rFonts w:hint="eastAsia"/>
          <w:color w:val="000000" w:themeColor="text1"/>
          <w:lang w:val="en-US"/>
        </w:rPr>
        <w:t xml:space="preserve"> 2021;</w:t>
      </w:r>
      <w:r w:rsidRPr="007C1030">
        <w:rPr>
          <w:color w:val="000000" w:themeColor="text1"/>
          <w:lang w:val="en-US"/>
        </w:rPr>
        <w:t xml:space="preserve"> 131</w:t>
      </w:r>
      <w:r w:rsidRPr="007C1030">
        <w:rPr>
          <w:rFonts w:hint="eastAsia"/>
          <w:color w:val="000000" w:themeColor="text1"/>
          <w:lang w:val="en-US"/>
        </w:rPr>
        <w:t>:</w:t>
      </w:r>
      <w:r w:rsidRPr="007C1030">
        <w:rPr>
          <w:color w:val="000000" w:themeColor="text1"/>
          <w:lang w:val="en-US"/>
        </w:rPr>
        <w:t xml:space="preserve"> 92</w:t>
      </w:r>
      <w:r w:rsidR="007C1030" w:rsidRPr="007C1030">
        <w:rPr>
          <w:color w:val="000000" w:themeColor="text1"/>
          <w:lang w:val="en-US"/>
        </w:rPr>
        <w:t>–</w:t>
      </w:r>
      <w:r w:rsidRPr="007C1030">
        <w:rPr>
          <w:color w:val="000000" w:themeColor="text1"/>
          <w:lang w:val="en-US"/>
        </w:rPr>
        <w:t>102. https://doi.org/10.1016/j.jbusres.2021.03.048.</w:t>
      </w:r>
    </w:p>
    <w:p w14:paraId="17F0C73D" w14:textId="0F636F2C" w:rsidR="00097C63" w:rsidRPr="007C1030" w:rsidRDefault="00FB6D14">
      <w:pPr>
        <w:pStyle w:val="bibiografia"/>
        <w:rPr>
          <w:color w:val="000000" w:themeColor="text1"/>
          <w:lang w:val="en-US"/>
        </w:rPr>
      </w:pPr>
      <w:r w:rsidRPr="007C1030">
        <w:rPr>
          <w:color w:val="000000" w:themeColor="text1"/>
          <w:lang w:val="en-US"/>
        </w:rPr>
        <w:t>Shang T, Sun X, Liu P, Gao J. Cracking the Achilles’ heel of energy performance contracting projects: the credit risk identification method for clients. International Journal of Green Energy</w:t>
      </w:r>
      <w:r w:rsidRPr="007C1030">
        <w:rPr>
          <w:rFonts w:hint="eastAsia"/>
          <w:color w:val="000000" w:themeColor="text1"/>
          <w:lang w:val="en-US"/>
        </w:rPr>
        <w:t xml:space="preserve"> 2020;</w:t>
      </w:r>
      <w:r w:rsidRPr="007C1030">
        <w:rPr>
          <w:color w:val="000000" w:themeColor="text1"/>
          <w:lang w:val="en-US"/>
        </w:rPr>
        <w:t xml:space="preserve"> 17(3)</w:t>
      </w:r>
      <w:r w:rsidRPr="007C1030">
        <w:rPr>
          <w:rFonts w:hint="eastAsia"/>
          <w:color w:val="000000" w:themeColor="text1"/>
          <w:lang w:val="en-US"/>
        </w:rPr>
        <w:t>:</w:t>
      </w:r>
      <w:r w:rsidRPr="007C1030">
        <w:rPr>
          <w:color w:val="000000" w:themeColor="text1"/>
          <w:lang w:val="en-US"/>
        </w:rPr>
        <w:t xml:space="preserve"> 196</w:t>
      </w:r>
      <w:r w:rsidR="007C1030" w:rsidRPr="007C1030">
        <w:rPr>
          <w:color w:val="000000" w:themeColor="text1"/>
          <w:lang w:val="en-US"/>
        </w:rPr>
        <w:t>–</w:t>
      </w:r>
      <w:r w:rsidRPr="007C1030">
        <w:rPr>
          <w:color w:val="000000" w:themeColor="text1"/>
          <w:lang w:val="en-US"/>
        </w:rPr>
        <w:t>207. https://doi.org/10.1080/15435075.2020.1712213.</w:t>
      </w:r>
    </w:p>
    <w:p w14:paraId="0B182423" w14:textId="77777777" w:rsidR="00097C63" w:rsidRPr="007C1030" w:rsidRDefault="00FB6D14">
      <w:pPr>
        <w:pStyle w:val="bibiografia"/>
        <w:rPr>
          <w:color w:val="000000" w:themeColor="text1"/>
          <w:lang w:val="en-US"/>
        </w:rPr>
      </w:pPr>
      <w:r w:rsidRPr="007C1030">
        <w:rPr>
          <w:color w:val="000000" w:themeColor="text1"/>
          <w:lang w:val="en-US"/>
        </w:rPr>
        <w:t>Dai A, Wang X, Li Y, Li T, He S. Design of a performance-based warranty policy with replacement–repair strategy and cumulative cost threshold. International Journal of Production Economics</w:t>
      </w:r>
      <w:r w:rsidRPr="007C1030">
        <w:rPr>
          <w:rFonts w:hint="eastAsia"/>
          <w:color w:val="000000" w:themeColor="text1"/>
          <w:lang w:val="en-US"/>
        </w:rPr>
        <w:t xml:space="preserve"> 2023; </w:t>
      </w:r>
      <w:r w:rsidRPr="007C1030">
        <w:rPr>
          <w:color w:val="000000" w:themeColor="text1"/>
          <w:lang w:val="en-US"/>
        </w:rPr>
        <w:t>255</w:t>
      </w:r>
      <w:r w:rsidRPr="007C1030">
        <w:rPr>
          <w:rFonts w:hint="eastAsia"/>
          <w:color w:val="000000" w:themeColor="text1"/>
          <w:lang w:val="en-US"/>
        </w:rPr>
        <w:t>:</w:t>
      </w:r>
      <w:r w:rsidRPr="007C1030">
        <w:rPr>
          <w:color w:val="000000" w:themeColor="text1"/>
          <w:lang w:val="en-US"/>
        </w:rPr>
        <w:t xml:space="preserve"> 108700. https://doi.org/10.1016/j.ijpe.2022.108700.</w:t>
      </w:r>
    </w:p>
    <w:p w14:paraId="382F164D" w14:textId="1F1F5155" w:rsidR="00097C63" w:rsidRPr="007C1030" w:rsidRDefault="00FB6D14">
      <w:pPr>
        <w:pStyle w:val="bibiografia"/>
        <w:rPr>
          <w:color w:val="000000" w:themeColor="text1"/>
          <w:lang w:val="en-US"/>
        </w:rPr>
      </w:pPr>
      <w:r w:rsidRPr="007C1030">
        <w:rPr>
          <w:color w:val="000000" w:themeColor="text1"/>
          <w:lang w:val="en-US"/>
        </w:rPr>
        <w:t>Yang L, Ye Z, Lee C</w:t>
      </w:r>
      <w:r w:rsidRPr="007C1030">
        <w:rPr>
          <w:rFonts w:hint="eastAsia"/>
          <w:color w:val="000000" w:themeColor="text1"/>
          <w:lang w:val="en-US"/>
        </w:rPr>
        <w:t xml:space="preserve"> </w:t>
      </w:r>
      <w:r w:rsidRPr="007C1030">
        <w:rPr>
          <w:color w:val="000000" w:themeColor="text1"/>
          <w:lang w:val="en-US"/>
        </w:rPr>
        <w:t>G, Yang S, Peng R.</w:t>
      </w:r>
      <w:r w:rsidRPr="007C1030">
        <w:rPr>
          <w:rFonts w:hint="eastAsia"/>
          <w:color w:val="000000" w:themeColor="text1"/>
          <w:lang w:val="en-US"/>
        </w:rPr>
        <w:t xml:space="preserve"> </w:t>
      </w:r>
      <w:r w:rsidRPr="007C1030">
        <w:rPr>
          <w:color w:val="000000" w:themeColor="text1"/>
          <w:lang w:val="en-US"/>
        </w:rPr>
        <w:t>A two-phase preventive maintenance policy considering imperfect repair and postponed replacement. European Journal of Operational Research</w:t>
      </w:r>
      <w:r w:rsidRPr="007C1030">
        <w:rPr>
          <w:rFonts w:hint="eastAsia"/>
          <w:color w:val="000000" w:themeColor="text1"/>
          <w:lang w:val="en-US"/>
        </w:rPr>
        <w:t xml:space="preserve"> 2019; </w:t>
      </w:r>
      <w:r w:rsidRPr="007C1030">
        <w:rPr>
          <w:color w:val="000000" w:themeColor="text1"/>
          <w:lang w:val="en-US"/>
        </w:rPr>
        <w:t>274(3)</w:t>
      </w:r>
      <w:r w:rsidRPr="007C1030">
        <w:rPr>
          <w:rFonts w:hint="eastAsia"/>
          <w:color w:val="000000" w:themeColor="text1"/>
          <w:lang w:val="en-US"/>
        </w:rPr>
        <w:t>:</w:t>
      </w:r>
      <w:r w:rsidRPr="007C1030">
        <w:rPr>
          <w:color w:val="000000" w:themeColor="text1"/>
          <w:lang w:val="en-US"/>
        </w:rPr>
        <w:t xml:space="preserve"> 966</w:t>
      </w:r>
      <w:r w:rsidR="007C1030" w:rsidRPr="007C1030">
        <w:rPr>
          <w:color w:val="000000" w:themeColor="text1"/>
          <w:lang w:val="en-US"/>
        </w:rPr>
        <w:t>–</w:t>
      </w:r>
      <w:r w:rsidRPr="007C1030">
        <w:rPr>
          <w:color w:val="000000" w:themeColor="text1"/>
          <w:lang w:val="en-US"/>
        </w:rPr>
        <w:t>977. https://doi.org/10.1016/j.ejor.2018.10.049.</w:t>
      </w:r>
    </w:p>
    <w:p w14:paraId="01775BAC" w14:textId="77777777" w:rsidR="00097C63" w:rsidRPr="007C1030" w:rsidRDefault="00FB6D14">
      <w:pPr>
        <w:pStyle w:val="bibiografia"/>
        <w:rPr>
          <w:color w:val="000000" w:themeColor="text1"/>
          <w:lang w:val="en-US"/>
        </w:rPr>
      </w:pPr>
      <w:r w:rsidRPr="007C1030">
        <w:rPr>
          <w:color w:val="000000" w:themeColor="text1"/>
          <w:lang w:val="en-US"/>
        </w:rPr>
        <w:t>Wang Y, Liu Y, Chen J</w:t>
      </w:r>
      <w:r w:rsidRPr="007C1030">
        <w:rPr>
          <w:rFonts w:hint="eastAsia"/>
          <w:color w:val="000000" w:themeColor="text1"/>
          <w:lang w:val="en-US"/>
        </w:rPr>
        <w:t xml:space="preserve">, </w:t>
      </w:r>
      <w:r w:rsidRPr="007C1030">
        <w:rPr>
          <w:color w:val="000000" w:themeColor="text1"/>
          <w:lang w:val="en-US"/>
        </w:rPr>
        <w:t xml:space="preserve">Li X. Reliability and condition-based maintenance modeling for systems operating under performance-based contracting. Computers </w:t>
      </w:r>
      <w:r w:rsidRPr="007C1030">
        <w:rPr>
          <w:rFonts w:hint="eastAsia"/>
          <w:color w:val="000000" w:themeColor="text1"/>
          <w:lang w:val="en-US"/>
        </w:rPr>
        <w:t>and</w:t>
      </w:r>
      <w:r w:rsidRPr="007C1030">
        <w:rPr>
          <w:color w:val="000000" w:themeColor="text1"/>
          <w:lang w:val="en-US"/>
        </w:rPr>
        <w:t xml:space="preserve"> Industrial Engineering </w:t>
      </w:r>
      <w:r w:rsidRPr="007C1030">
        <w:rPr>
          <w:rFonts w:hint="eastAsia"/>
          <w:color w:val="000000" w:themeColor="text1"/>
          <w:lang w:val="en-US"/>
        </w:rPr>
        <w:t xml:space="preserve">2020; </w:t>
      </w:r>
      <w:r w:rsidRPr="007C1030">
        <w:rPr>
          <w:color w:val="000000" w:themeColor="text1"/>
          <w:lang w:val="en-US"/>
        </w:rPr>
        <w:t>142</w:t>
      </w:r>
      <w:r w:rsidRPr="007C1030">
        <w:rPr>
          <w:rFonts w:hint="eastAsia"/>
          <w:color w:val="000000" w:themeColor="text1"/>
          <w:lang w:val="en-US"/>
        </w:rPr>
        <w:t xml:space="preserve">: </w:t>
      </w:r>
      <w:r w:rsidRPr="007C1030">
        <w:rPr>
          <w:color w:val="000000" w:themeColor="text1"/>
          <w:lang w:val="en-US"/>
        </w:rPr>
        <w:t>106344. https://doi.org/10.1016/j.cie.2020.106344.</w:t>
      </w:r>
    </w:p>
    <w:p w14:paraId="5B0484D6" w14:textId="77777777" w:rsidR="00097C63" w:rsidRPr="007C1030" w:rsidRDefault="00FB6D14">
      <w:pPr>
        <w:pStyle w:val="bibiografia"/>
        <w:rPr>
          <w:color w:val="000000" w:themeColor="text1"/>
          <w:lang w:val="en-US"/>
        </w:rPr>
      </w:pPr>
      <w:r w:rsidRPr="007C1030">
        <w:rPr>
          <w:color w:val="000000" w:themeColor="text1"/>
          <w:lang w:val="en-US"/>
        </w:rPr>
        <w:t>Li Z, Zi Y, Chen J, Pan J, Zhou Z. Performance-guided maintenance policy and optimization for transmission system of shipborne antenna with multiple components. Ocean Engineering</w:t>
      </w:r>
      <w:r w:rsidRPr="007C1030">
        <w:rPr>
          <w:rFonts w:hint="eastAsia"/>
          <w:color w:val="000000" w:themeColor="text1"/>
          <w:lang w:val="en-US"/>
        </w:rPr>
        <w:t xml:space="preserve"> 2020;</w:t>
      </w:r>
      <w:r w:rsidRPr="007C1030">
        <w:rPr>
          <w:color w:val="000000" w:themeColor="text1"/>
          <w:lang w:val="en-US"/>
        </w:rPr>
        <w:t xml:space="preserve"> 199</w:t>
      </w:r>
      <w:r w:rsidRPr="007C1030">
        <w:rPr>
          <w:rFonts w:hint="eastAsia"/>
          <w:color w:val="000000" w:themeColor="text1"/>
          <w:lang w:val="en-US"/>
        </w:rPr>
        <w:t>:</w:t>
      </w:r>
      <w:r w:rsidRPr="007C1030">
        <w:rPr>
          <w:color w:val="000000" w:themeColor="text1"/>
          <w:lang w:val="en-US"/>
        </w:rPr>
        <w:t xml:space="preserve"> 106903. https://doi.org/10.1016/j.oceaneng.2019.106903.</w:t>
      </w:r>
    </w:p>
    <w:p w14:paraId="5768FE27" w14:textId="3983A4E7" w:rsidR="00097C63" w:rsidRPr="007C1030" w:rsidRDefault="00FB6D14">
      <w:pPr>
        <w:pStyle w:val="bibiografia"/>
        <w:rPr>
          <w:color w:val="000000" w:themeColor="text1"/>
          <w:lang w:val="en-US"/>
        </w:rPr>
      </w:pPr>
      <w:r w:rsidRPr="007C1030">
        <w:rPr>
          <w:rFonts w:hint="eastAsia"/>
          <w:color w:val="000000" w:themeColor="text1"/>
          <w:lang w:val="en-US"/>
        </w:rPr>
        <w:t>Hosseinifard Z, Shao L, Talluri S. Service-Level Agreement with Dynamic Inventory Policy: The Effect of the Performance Review Period and the Incentive Structure. Decision Sciences 2021; 53(5): 802</w:t>
      </w:r>
      <w:r w:rsidR="007C1030" w:rsidRPr="007C1030">
        <w:rPr>
          <w:color w:val="000000" w:themeColor="text1"/>
          <w:lang w:val="en-US"/>
        </w:rPr>
        <w:t>–</w:t>
      </w:r>
      <w:r w:rsidRPr="007C1030">
        <w:rPr>
          <w:rFonts w:hint="eastAsia"/>
          <w:color w:val="000000" w:themeColor="text1"/>
          <w:lang w:val="en-US"/>
        </w:rPr>
        <w:t>826. https://doi.org/10.1111/deci.12506</w:t>
      </w:r>
      <w:r w:rsidRPr="007C1030">
        <w:rPr>
          <w:color w:val="000000" w:themeColor="text1"/>
          <w:lang w:val="en-US"/>
        </w:rPr>
        <w:t>.</w:t>
      </w:r>
    </w:p>
    <w:p w14:paraId="71EAFF7F" w14:textId="37D8CD4F" w:rsidR="00097C63" w:rsidRPr="007C1030" w:rsidRDefault="00FB6D14">
      <w:pPr>
        <w:pStyle w:val="bibiografia"/>
        <w:rPr>
          <w:color w:val="000000" w:themeColor="text1"/>
          <w:lang w:val="en-US"/>
        </w:rPr>
      </w:pPr>
      <w:r w:rsidRPr="007C1030">
        <w:rPr>
          <w:color w:val="000000" w:themeColor="text1"/>
          <w:lang w:val="en-US"/>
        </w:rPr>
        <w:t>Patra P, Kumar U D, Nowicki D R, Randall</w:t>
      </w:r>
      <w:r w:rsidRPr="007C1030">
        <w:rPr>
          <w:rFonts w:hint="eastAsia"/>
          <w:color w:val="000000" w:themeColor="text1"/>
          <w:lang w:val="en-US"/>
        </w:rPr>
        <w:t xml:space="preserve"> </w:t>
      </w:r>
      <w:r w:rsidRPr="007C1030">
        <w:rPr>
          <w:color w:val="000000" w:themeColor="text1"/>
          <w:lang w:val="en-US"/>
        </w:rPr>
        <w:t>W S. Effective management of performance-based contracts for sustainment dominant systems. International Journal of Production Economics</w:t>
      </w:r>
      <w:r w:rsidRPr="007C1030">
        <w:rPr>
          <w:rFonts w:hint="eastAsia"/>
          <w:color w:val="000000" w:themeColor="text1"/>
          <w:lang w:val="en-US"/>
        </w:rPr>
        <w:t xml:space="preserve"> 2019; </w:t>
      </w:r>
      <w:r w:rsidRPr="007C1030">
        <w:rPr>
          <w:color w:val="000000" w:themeColor="text1"/>
          <w:lang w:val="en-US"/>
        </w:rPr>
        <w:t>208</w:t>
      </w:r>
      <w:r w:rsidRPr="007C1030">
        <w:rPr>
          <w:rFonts w:hint="eastAsia"/>
          <w:color w:val="000000" w:themeColor="text1"/>
          <w:lang w:val="en-US"/>
        </w:rPr>
        <w:t>:</w:t>
      </w:r>
      <w:r w:rsidRPr="007C1030">
        <w:rPr>
          <w:color w:val="000000" w:themeColor="text1"/>
          <w:lang w:val="en-US"/>
        </w:rPr>
        <w:t xml:space="preserve"> 369</w:t>
      </w:r>
      <w:r w:rsidR="007C1030" w:rsidRPr="007C1030">
        <w:rPr>
          <w:color w:val="000000" w:themeColor="text1"/>
          <w:lang w:val="en-US"/>
        </w:rPr>
        <w:t>–</w:t>
      </w:r>
      <w:r w:rsidRPr="007C1030">
        <w:rPr>
          <w:color w:val="000000" w:themeColor="text1"/>
          <w:lang w:val="en-US"/>
        </w:rPr>
        <w:t>382. https://doi.org/10.1016/j.ijpe.2018.11.025.</w:t>
      </w:r>
    </w:p>
    <w:p w14:paraId="5F58A977" w14:textId="78D6E449" w:rsidR="00097C63" w:rsidRPr="007C1030" w:rsidRDefault="00FB6D14">
      <w:pPr>
        <w:pStyle w:val="bibiografia"/>
        <w:rPr>
          <w:color w:val="000000" w:themeColor="text1"/>
          <w:lang w:val="en-US"/>
        </w:rPr>
      </w:pPr>
      <w:r w:rsidRPr="007C1030">
        <w:rPr>
          <w:color w:val="000000" w:themeColor="text1"/>
          <w:lang w:val="en-US"/>
        </w:rPr>
        <w:t>Gao X, Dong E, Gao T, Jiang K, Zhu B, Wang Y</w:t>
      </w:r>
      <w:r w:rsidRPr="007C1030">
        <w:rPr>
          <w:rFonts w:hint="eastAsia"/>
          <w:color w:val="000000" w:themeColor="text1"/>
          <w:lang w:val="en-US"/>
        </w:rPr>
        <w:t>,</w:t>
      </w:r>
      <w:r w:rsidRPr="007C1030">
        <w:rPr>
          <w:color w:val="000000" w:themeColor="text1"/>
          <w:lang w:val="en-US"/>
        </w:rPr>
        <w:t xml:space="preserve"> Cheng Z. Cost-availability ratio modeling of two-dimensional extended warranty for multi-component systems with fault correlation. International Journal of Industrial Engineering Computations</w:t>
      </w:r>
      <w:r w:rsidRPr="007C1030">
        <w:rPr>
          <w:rFonts w:hint="eastAsia"/>
          <w:color w:val="000000" w:themeColor="text1"/>
          <w:lang w:val="en-US"/>
        </w:rPr>
        <w:t xml:space="preserve"> </w:t>
      </w:r>
      <w:r w:rsidRPr="007C1030">
        <w:rPr>
          <w:color w:val="000000" w:themeColor="text1"/>
          <w:lang w:val="en-US"/>
        </w:rPr>
        <w:t>202</w:t>
      </w:r>
      <w:r w:rsidRPr="007C1030">
        <w:rPr>
          <w:rFonts w:hint="eastAsia"/>
          <w:color w:val="000000" w:themeColor="text1"/>
          <w:lang w:val="en-US"/>
        </w:rPr>
        <w:t>6;</w:t>
      </w:r>
      <w:r w:rsidRPr="007C1030">
        <w:rPr>
          <w:color w:val="000000" w:themeColor="text1"/>
          <w:lang w:val="en-US"/>
        </w:rPr>
        <w:t xml:space="preserve"> 17</w:t>
      </w:r>
      <w:r w:rsidRPr="007C1030">
        <w:rPr>
          <w:rFonts w:hint="eastAsia"/>
          <w:color w:val="000000" w:themeColor="text1"/>
          <w:lang w:val="en-US"/>
        </w:rPr>
        <w:t>: 265</w:t>
      </w:r>
      <w:r w:rsidR="007C1030" w:rsidRPr="007C1030">
        <w:rPr>
          <w:color w:val="000000" w:themeColor="text1"/>
          <w:lang w:val="en-US"/>
        </w:rPr>
        <w:t>–</w:t>
      </w:r>
      <w:r w:rsidRPr="007C1030">
        <w:rPr>
          <w:rFonts w:hint="eastAsia"/>
          <w:color w:val="000000" w:themeColor="text1"/>
          <w:lang w:val="en-US"/>
        </w:rPr>
        <w:t>282.</w:t>
      </w:r>
      <w:r w:rsidRPr="007C1030">
        <w:rPr>
          <w:color w:val="000000" w:themeColor="text1"/>
          <w:lang w:val="en-US"/>
        </w:rPr>
        <w:t xml:space="preserve"> https://doi: 10.5267/j.ijiec.2025.9.005.</w:t>
      </w:r>
    </w:p>
    <w:p w14:paraId="676A1DA9" w14:textId="77777777" w:rsidR="00097C63" w:rsidRPr="007C1030" w:rsidRDefault="00FB6D14">
      <w:pPr>
        <w:pStyle w:val="bibiografia"/>
        <w:rPr>
          <w:color w:val="000000" w:themeColor="text1"/>
          <w:lang w:val="en-US"/>
        </w:rPr>
      </w:pPr>
      <w:r w:rsidRPr="007C1030">
        <w:rPr>
          <w:color w:val="000000" w:themeColor="text1"/>
          <w:lang w:val="en-US"/>
        </w:rPr>
        <w:t>Gao</w:t>
      </w:r>
      <w:r w:rsidRPr="007C1030">
        <w:rPr>
          <w:rFonts w:hint="eastAsia"/>
          <w:color w:val="000000" w:themeColor="text1"/>
          <w:lang w:val="en-US"/>
        </w:rPr>
        <w:t xml:space="preserve"> </w:t>
      </w:r>
      <w:r w:rsidRPr="007C1030">
        <w:rPr>
          <w:color w:val="000000" w:themeColor="text1"/>
          <w:lang w:val="en-US"/>
        </w:rPr>
        <w:t>X, Wen</w:t>
      </w:r>
      <w:r w:rsidRPr="007C1030">
        <w:rPr>
          <w:rFonts w:hint="eastAsia"/>
          <w:color w:val="000000" w:themeColor="text1"/>
          <w:lang w:val="en-US"/>
        </w:rPr>
        <w:t xml:space="preserve"> </w:t>
      </w:r>
      <w:r w:rsidRPr="007C1030">
        <w:rPr>
          <w:color w:val="000000" w:themeColor="text1"/>
          <w:lang w:val="en-US"/>
        </w:rPr>
        <w:t>L, Dong</w:t>
      </w:r>
      <w:r w:rsidRPr="007C1030">
        <w:rPr>
          <w:rFonts w:hint="eastAsia"/>
          <w:color w:val="000000" w:themeColor="text1"/>
          <w:lang w:val="en-US"/>
        </w:rPr>
        <w:t xml:space="preserve"> </w:t>
      </w:r>
      <w:r w:rsidRPr="007C1030">
        <w:rPr>
          <w:color w:val="000000" w:themeColor="text1"/>
          <w:lang w:val="en-US"/>
        </w:rPr>
        <w:t>E, Gao</w:t>
      </w:r>
      <w:r w:rsidRPr="007C1030">
        <w:rPr>
          <w:rFonts w:hint="eastAsia"/>
          <w:color w:val="000000" w:themeColor="text1"/>
          <w:lang w:val="en-US"/>
        </w:rPr>
        <w:t xml:space="preserve"> </w:t>
      </w:r>
      <w:r w:rsidRPr="007C1030">
        <w:rPr>
          <w:color w:val="000000" w:themeColor="text1"/>
          <w:lang w:val="en-US"/>
        </w:rPr>
        <w:t>T, Jiang</w:t>
      </w:r>
      <w:r w:rsidRPr="007C1030">
        <w:rPr>
          <w:rFonts w:hint="eastAsia"/>
          <w:color w:val="000000" w:themeColor="text1"/>
          <w:lang w:val="en-US"/>
        </w:rPr>
        <w:t xml:space="preserve"> </w:t>
      </w:r>
      <w:r w:rsidRPr="007C1030">
        <w:rPr>
          <w:color w:val="000000" w:themeColor="text1"/>
          <w:lang w:val="en-US"/>
        </w:rPr>
        <w:t>K, Zhu</w:t>
      </w:r>
      <w:r w:rsidRPr="007C1030">
        <w:rPr>
          <w:rFonts w:hint="eastAsia"/>
          <w:color w:val="000000" w:themeColor="text1"/>
          <w:lang w:val="en-US"/>
        </w:rPr>
        <w:t xml:space="preserve"> </w:t>
      </w:r>
      <w:r w:rsidRPr="007C1030">
        <w:rPr>
          <w:color w:val="000000" w:themeColor="text1"/>
          <w:lang w:val="en-US"/>
        </w:rPr>
        <w:t>B, Wang</w:t>
      </w:r>
      <w:r w:rsidRPr="007C1030">
        <w:rPr>
          <w:rFonts w:hint="eastAsia"/>
          <w:color w:val="000000" w:themeColor="text1"/>
          <w:lang w:val="en-US"/>
        </w:rPr>
        <w:t xml:space="preserve"> </w:t>
      </w:r>
      <w:r w:rsidRPr="007C1030">
        <w:rPr>
          <w:color w:val="000000" w:themeColor="text1"/>
          <w:lang w:val="en-US"/>
        </w:rPr>
        <w:t>Y, Cheng, Z.</w:t>
      </w:r>
      <w:r w:rsidRPr="007C1030">
        <w:rPr>
          <w:rFonts w:hint="eastAsia"/>
          <w:color w:val="000000" w:themeColor="text1"/>
          <w:lang w:val="en-US"/>
        </w:rPr>
        <w:t xml:space="preserve"> </w:t>
      </w:r>
      <w:r w:rsidRPr="007C1030">
        <w:rPr>
          <w:color w:val="000000" w:themeColor="text1"/>
          <w:lang w:val="en-US"/>
        </w:rPr>
        <w:t>Modeling of warranty decisions based on optimal preventive replacement considering the structural correlation of multi-component parallel systems. AIP Advances</w:t>
      </w:r>
      <w:r w:rsidRPr="007C1030">
        <w:rPr>
          <w:rFonts w:hint="eastAsia"/>
          <w:color w:val="000000" w:themeColor="text1"/>
          <w:lang w:val="en-US"/>
        </w:rPr>
        <w:t xml:space="preserve"> 2025; </w:t>
      </w:r>
      <w:r w:rsidRPr="007C1030">
        <w:rPr>
          <w:color w:val="000000" w:themeColor="text1"/>
          <w:lang w:val="en-US"/>
        </w:rPr>
        <w:t>15(10)</w:t>
      </w:r>
      <w:r w:rsidRPr="007C1030">
        <w:rPr>
          <w:rFonts w:hint="eastAsia"/>
          <w:color w:val="000000" w:themeColor="text1"/>
          <w:lang w:val="en-US"/>
        </w:rPr>
        <w:t xml:space="preserve">. </w:t>
      </w:r>
      <w:r w:rsidRPr="007C1030">
        <w:rPr>
          <w:color w:val="000000" w:themeColor="text1"/>
          <w:lang w:val="en-US"/>
        </w:rPr>
        <w:t>https://doi.org/10.1063/5.0300540.</w:t>
      </w:r>
    </w:p>
    <w:p w14:paraId="6D00B7A8" w14:textId="20FE1C2F" w:rsidR="00097C63" w:rsidRPr="007C1030" w:rsidRDefault="00FB6D14">
      <w:pPr>
        <w:pStyle w:val="bibiografia"/>
        <w:rPr>
          <w:color w:val="000000" w:themeColor="text1"/>
          <w:lang w:val="en-US"/>
        </w:rPr>
      </w:pPr>
      <w:r w:rsidRPr="007C1030">
        <w:rPr>
          <w:rFonts w:hint="eastAsia"/>
          <w:color w:val="000000" w:themeColor="text1"/>
          <w:lang w:val="en-US"/>
        </w:rPr>
        <w:t>Huang Y, Fang C, Wijaya S. Condition-based preventive maintenance with a yield rate threshold for deteriorating repairable systems. Quality and Reliability Engineering International 2022; 38(8): 4122</w:t>
      </w:r>
      <w:r w:rsidR="007C1030" w:rsidRPr="007C1030">
        <w:rPr>
          <w:color w:val="000000" w:themeColor="text1"/>
          <w:lang w:val="en-US"/>
        </w:rPr>
        <w:t>–</w:t>
      </w:r>
      <w:r w:rsidRPr="007C1030">
        <w:rPr>
          <w:rFonts w:hint="eastAsia"/>
          <w:color w:val="000000" w:themeColor="text1"/>
          <w:lang w:val="en-US"/>
        </w:rPr>
        <w:t>4140. https://doi.org/10.1002/qre.3191</w:t>
      </w:r>
      <w:r w:rsidRPr="007C1030">
        <w:rPr>
          <w:color w:val="000000" w:themeColor="text1"/>
          <w:lang w:val="en-US"/>
        </w:rPr>
        <w:t>.</w:t>
      </w:r>
    </w:p>
    <w:p w14:paraId="4855894C" w14:textId="77777777" w:rsidR="00097C63" w:rsidRPr="007C1030" w:rsidRDefault="00FB6D14">
      <w:pPr>
        <w:pStyle w:val="bibiografia"/>
        <w:rPr>
          <w:color w:val="000000" w:themeColor="text1"/>
          <w:lang w:val="en-US"/>
        </w:rPr>
      </w:pPr>
      <w:r w:rsidRPr="007C1030">
        <w:rPr>
          <w:color w:val="000000" w:themeColor="text1"/>
          <w:lang w:val="en-US"/>
        </w:rPr>
        <w:t>Golmohammadi E, Ardakan</w:t>
      </w:r>
      <w:r w:rsidRPr="007C1030">
        <w:rPr>
          <w:rFonts w:hint="eastAsia"/>
          <w:color w:val="000000" w:themeColor="text1"/>
          <w:lang w:val="en-US"/>
        </w:rPr>
        <w:t xml:space="preserve"> </w:t>
      </w:r>
      <w:r w:rsidRPr="007C1030">
        <w:rPr>
          <w:color w:val="000000" w:themeColor="text1"/>
          <w:lang w:val="en-US"/>
        </w:rPr>
        <w:t>M</w:t>
      </w:r>
      <w:r w:rsidRPr="007C1030">
        <w:rPr>
          <w:rFonts w:hint="eastAsia"/>
          <w:color w:val="000000" w:themeColor="text1"/>
          <w:lang w:val="en-US"/>
        </w:rPr>
        <w:t xml:space="preserve"> </w:t>
      </w:r>
      <w:r w:rsidRPr="007C1030">
        <w:rPr>
          <w:color w:val="000000" w:themeColor="text1"/>
          <w:lang w:val="en-US"/>
        </w:rPr>
        <w:t>A.</w:t>
      </w:r>
      <w:r w:rsidRPr="007C1030">
        <w:rPr>
          <w:rFonts w:hint="eastAsia"/>
          <w:color w:val="000000" w:themeColor="text1"/>
          <w:lang w:val="en-US"/>
        </w:rPr>
        <w:t xml:space="preserve"> </w:t>
      </w:r>
      <w:r w:rsidRPr="007C1030">
        <w:rPr>
          <w:color w:val="000000" w:themeColor="text1"/>
          <w:lang w:val="en-US"/>
        </w:rPr>
        <w:t xml:space="preserve">Reliability optimization problem with the mixed strategy, degrading components, and a periodic inspection and maintenance policy. Reliability Engineering </w:t>
      </w:r>
      <w:r w:rsidRPr="007C1030">
        <w:rPr>
          <w:rFonts w:hint="eastAsia"/>
          <w:color w:val="000000" w:themeColor="text1"/>
          <w:lang w:val="en-US"/>
        </w:rPr>
        <w:t>and</w:t>
      </w:r>
      <w:r w:rsidRPr="007C1030">
        <w:rPr>
          <w:color w:val="000000" w:themeColor="text1"/>
          <w:lang w:val="en-US"/>
        </w:rPr>
        <w:t xml:space="preserve"> System Safety</w:t>
      </w:r>
      <w:r w:rsidRPr="007C1030">
        <w:rPr>
          <w:rFonts w:hint="eastAsia"/>
          <w:color w:val="000000" w:themeColor="text1"/>
          <w:lang w:val="en-US"/>
        </w:rPr>
        <w:t xml:space="preserve"> 2022; </w:t>
      </w:r>
      <w:r w:rsidRPr="007C1030">
        <w:rPr>
          <w:color w:val="000000" w:themeColor="text1"/>
          <w:lang w:val="en-US"/>
        </w:rPr>
        <w:t>223</w:t>
      </w:r>
      <w:r w:rsidRPr="007C1030">
        <w:rPr>
          <w:rFonts w:hint="eastAsia"/>
          <w:color w:val="000000" w:themeColor="text1"/>
          <w:lang w:val="en-US"/>
        </w:rPr>
        <w:t xml:space="preserve">: </w:t>
      </w:r>
      <w:r w:rsidRPr="007C1030">
        <w:rPr>
          <w:color w:val="000000" w:themeColor="text1"/>
          <w:lang w:val="en-US"/>
        </w:rPr>
        <w:t>108500. https://doi.org/10.1016/j.ress.2022.108500.</w:t>
      </w:r>
    </w:p>
    <w:sectPr w:rsidR="00097C63" w:rsidRPr="007C1030">
      <w:type w:val="continuous"/>
      <w:pgSz w:w="11906" w:h="16838"/>
      <w:pgMar w:top="1219" w:right="567" w:bottom="1219" w:left="567" w:header="765" w:footer="567" w:gutter="0"/>
      <w:cols w:space="566"/>
      <w:docGrid w:type="linesAndChars" w:linePitch="313" w:charSpace="13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C9D36" w14:textId="77777777" w:rsidR="00D02CAE" w:rsidRDefault="00D02CAE">
      <w:r>
        <w:separator/>
      </w:r>
    </w:p>
  </w:endnote>
  <w:endnote w:type="continuationSeparator" w:id="0">
    <w:p w14:paraId="7E32E6AF" w14:textId="77777777" w:rsidR="00D02CAE" w:rsidRDefault="00D02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default"/>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default"/>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方正书宋简体">
    <w:altName w:val="宋体"/>
    <w:charset w:val="86"/>
    <w:family w:val="script"/>
    <w:pitch w:val="default"/>
    <w:sig w:usb0="00000000" w:usb1="00000000" w:usb2="00000010" w:usb3="00000000" w:csb0="00040000"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Microsoft YaHei UI"/>
    <w:panose1 w:val="02010600030101010101"/>
    <w:charset w:val="86"/>
    <w:family w:val="auto"/>
    <w:pitch w:val="default"/>
    <w:sig w:usb0="00000000" w:usb1="38CF7CFA" w:usb2="00000016" w:usb3="00000000" w:csb0="00040001" w:csb1="00000000"/>
  </w:font>
  <w:font w:name="FangSong_GB2312">
    <w:altName w:val="仿宋"/>
    <w:charset w:val="86"/>
    <w:family w:val="modern"/>
    <w:pitch w:val="default"/>
    <w:sig w:usb0="00000000" w:usb1="0000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MS Mincho">
    <w:altName w:val="MS Gothic"/>
    <w:panose1 w:val="02020609040205080304"/>
    <w:charset w:val="00"/>
    <w:family w:val="auto"/>
    <w:pitch w:val="default"/>
  </w:font>
  <w:font w:name="KaiTi_GB2312">
    <w:altName w:val="微软雅黑"/>
    <w:charset w:val="86"/>
    <w:family w:val="modern"/>
    <w:pitch w:val="default"/>
    <w:sig w:usb0="00000000" w:usb1="00000000" w:usb2="00000010" w:usb3="00000000" w:csb0="00040000" w:csb1="00000000"/>
  </w:font>
  <w:font w:name="方正小标宋简体">
    <w:charset w:val="86"/>
    <w:family w:val="auto"/>
    <w:pitch w:val="default"/>
    <w:sig w:usb0="00000001" w:usb1="08000000" w:usb2="00000000" w:usb3="00000000" w:csb0="00040000" w:csb1="00000000"/>
  </w:font>
  <w:font w:name="Verdana">
    <w:panose1 w:val="020B0604030504040204"/>
    <w:charset w:val="EE"/>
    <w:family w:val="swiss"/>
    <w:pitch w:val="variable"/>
    <w:sig w:usb0="A00006FF" w:usb1="4000205B" w:usb2="00000010" w:usb3="00000000" w:csb0="0000019F" w:csb1="00000000"/>
  </w:font>
  <w:font w:name="AdvOT596495f2">
    <w:altName w:val="Cambria"/>
    <w:charset w:val="00"/>
    <w:family w:val="roman"/>
    <w:pitch w:val="default"/>
  </w:font>
  <w:font w:name="TimesLTStd-Roman">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W w:w="12757" w:type="dxa"/>
      <w:tblInd w:w="-426" w:type="dxa"/>
      <w:tblBorders>
        <w:left w:val="none" w:sz="0" w:space="0" w:color="auto"/>
        <w:right w:val="none" w:sz="0" w:space="0" w:color="auto"/>
      </w:tblBorders>
      <w:tblLook w:val="04A0" w:firstRow="1" w:lastRow="0" w:firstColumn="1" w:lastColumn="0" w:noHBand="0" w:noVBand="1"/>
    </w:tblPr>
    <w:tblGrid>
      <w:gridCol w:w="12757"/>
    </w:tblGrid>
    <w:tr w:rsidR="00FB6D14" w14:paraId="5323F07B" w14:textId="77777777">
      <w:tc>
        <w:tcPr>
          <w:tcW w:w="12757" w:type="dxa"/>
          <w:vAlign w:val="center"/>
        </w:tcPr>
        <w:p w14:paraId="56032EB6" w14:textId="77777777" w:rsidR="00FB6D14" w:rsidRDefault="00FB6D14">
          <w:pPr>
            <w:pStyle w:val="Stopka"/>
            <w:spacing w:before="120" w:after="120"/>
            <w:jc w:val="center"/>
            <w:rPr>
              <w:rFonts w:ascii="Times New Roman" w:hAnsi="Times New Roman"/>
              <w:sz w:val="20"/>
              <w:szCs w:val="20"/>
            </w:rPr>
          </w:pPr>
          <w:r>
            <w:rPr>
              <w:rFonts w:ascii="Times New Roman" w:hAnsi="Times New Roman"/>
              <w:sz w:val="20"/>
              <w:szCs w:val="20"/>
            </w:rPr>
            <w:t>Eksploatacja i Niezawodność – Maintenance and Reliability Vol. 25, No. 1, 2023</w:t>
          </w:r>
        </w:p>
      </w:tc>
    </w:tr>
  </w:tbl>
  <w:p w14:paraId="6F6A2B17" w14:textId="77777777" w:rsidR="00FB6D14" w:rsidRDefault="00FB6D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W w:w="10490" w:type="dxa"/>
      <w:tblInd w:w="-85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B6D14" w14:paraId="4F4866FF" w14:textId="77777777">
      <w:tc>
        <w:tcPr>
          <w:tcW w:w="10490" w:type="dxa"/>
          <w:vAlign w:val="center"/>
        </w:tcPr>
        <w:p w14:paraId="3CD4EB01" w14:textId="77777777" w:rsidR="00FB6D14" w:rsidRDefault="00FB6D14">
          <w:pPr>
            <w:pStyle w:val="Stopka"/>
            <w:spacing w:before="60" w:after="60"/>
            <w:jc w:val="center"/>
            <w:rPr>
              <w:rFonts w:ascii="Times New Roman" w:hAnsi="Times New Roman"/>
              <w:sz w:val="20"/>
              <w:szCs w:val="20"/>
            </w:rPr>
          </w:pPr>
          <w:bookmarkStart w:id="0" w:name="_Hlk121166172"/>
          <w:r>
            <w:rPr>
              <w:rFonts w:ascii="Times New Roman" w:hAnsi="Times New Roman"/>
              <w:sz w:val="20"/>
              <w:szCs w:val="20"/>
            </w:rPr>
            <w:t>Eksploatacja i Niezawodność – Maintenance and Reliability Vol. 28, No. 3, 2026</w:t>
          </w:r>
        </w:p>
      </w:tc>
    </w:tr>
    <w:bookmarkEnd w:id="0"/>
  </w:tbl>
  <w:p w14:paraId="6AC2D685" w14:textId="77777777" w:rsidR="00FB6D14" w:rsidRDefault="00FB6D1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W w:w="10774" w:type="dxa"/>
      <w:tblInd w:w="-851" w:type="dxa"/>
      <w:tblBorders>
        <w:left w:val="none" w:sz="0" w:space="0" w:color="auto"/>
        <w:right w:val="none" w:sz="0" w:space="0" w:color="auto"/>
      </w:tblBorders>
      <w:tblLook w:val="04A0" w:firstRow="1" w:lastRow="0" w:firstColumn="1" w:lastColumn="0" w:noHBand="0" w:noVBand="1"/>
    </w:tblPr>
    <w:tblGrid>
      <w:gridCol w:w="10774"/>
    </w:tblGrid>
    <w:tr w:rsidR="00FB6D14" w14:paraId="4379D4CA" w14:textId="77777777">
      <w:tc>
        <w:tcPr>
          <w:tcW w:w="10774" w:type="dxa"/>
        </w:tcPr>
        <w:p w14:paraId="37E7677C" w14:textId="77777777" w:rsidR="00FB6D14" w:rsidRDefault="00FB6D14">
          <w:pPr>
            <w:pStyle w:val="Stopka"/>
            <w:tabs>
              <w:tab w:val="clear" w:pos="9072"/>
              <w:tab w:val="right" w:pos="10117"/>
            </w:tabs>
            <w:spacing w:before="120" w:after="120"/>
            <w:jc w:val="center"/>
            <w:rPr>
              <w:rFonts w:ascii="Times New Roman" w:hAnsi="Times New Roman"/>
              <w:sz w:val="20"/>
              <w:szCs w:val="20"/>
            </w:rPr>
          </w:pPr>
          <w:r>
            <w:rPr>
              <w:rFonts w:ascii="Times New Roman" w:hAnsi="Times New Roman"/>
              <w:sz w:val="20"/>
              <w:szCs w:val="20"/>
            </w:rPr>
            <w:t>Eksploatacja i Niezawodność – Maintenance and Reliability Vol. 25, No. 2, 2023</w:t>
          </w:r>
        </w:p>
      </w:tc>
    </w:tr>
  </w:tbl>
  <w:p w14:paraId="50B97B6E" w14:textId="77777777" w:rsidR="00FB6D14" w:rsidRDefault="00FB6D14">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W w:w="1062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9"/>
    </w:tblGrid>
    <w:tr w:rsidR="00FB6D14" w14:paraId="1C5EE6C2" w14:textId="77777777">
      <w:trPr>
        <w:trHeight w:val="261"/>
      </w:trPr>
      <w:tc>
        <w:tcPr>
          <w:tcW w:w="10629" w:type="dxa"/>
          <w:vAlign w:val="center"/>
        </w:tcPr>
        <w:p w14:paraId="2E2A006B" w14:textId="77777777" w:rsidR="00FB6D14" w:rsidRDefault="00FB6D14">
          <w:pPr>
            <w:pStyle w:val="Stopka"/>
            <w:spacing w:before="120" w:after="120"/>
            <w:jc w:val="center"/>
            <w:rPr>
              <w:rFonts w:ascii="Times New Roman" w:hAnsi="Times New Roman"/>
              <w:sz w:val="20"/>
              <w:szCs w:val="20"/>
            </w:rPr>
          </w:pPr>
          <w:r>
            <w:rPr>
              <w:rFonts w:ascii="Times New Roman" w:hAnsi="Times New Roman"/>
              <w:sz w:val="20"/>
              <w:szCs w:val="20"/>
              <w:lang w:val="pl-PL"/>
            </w:rPr>
            <w:t xml:space="preserve">Eksploatacja i Niezawodność – Maintenance and Reliability Vol. </w:t>
          </w:r>
          <w:r>
            <w:rPr>
              <w:rFonts w:ascii="Times New Roman" w:hAnsi="Times New Roman"/>
              <w:sz w:val="20"/>
              <w:szCs w:val="20"/>
            </w:rPr>
            <w:t>28, No. 3, 2026</w:t>
          </w:r>
        </w:p>
      </w:tc>
    </w:tr>
  </w:tbl>
  <w:p w14:paraId="17744E8B" w14:textId="77777777" w:rsidR="00FB6D14" w:rsidRDefault="00FB6D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11722" w14:textId="77777777" w:rsidR="00D02CAE" w:rsidRDefault="00D02CAE">
      <w:r>
        <w:separator/>
      </w:r>
    </w:p>
  </w:footnote>
  <w:footnote w:type="continuationSeparator" w:id="0">
    <w:p w14:paraId="6BB57DAF" w14:textId="77777777" w:rsidR="00D02CAE" w:rsidRDefault="00D02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00D78"/>
    <w:multiLevelType w:val="singleLevel"/>
    <w:tmpl w:val="05A00D78"/>
    <w:lvl w:ilvl="0">
      <w:start w:val="1"/>
      <w:numFmt w:val="bullet"/>
      <w:pStyle w:val="a"/>
      <w:lvlText w:val=""/>
      <w:lvlJc w:val="left"/>
      <w:pPr>
        <w:tabs>
          <w:tab w:val="left" w:pos="425"/>
        </w:tabs>
        <w:ind w:left="425" w:hanging="425"/>
      </w:pPr>
      <w:rPr>
        <w:rFonts w:ascii="Wingdings" w:hAnsi="Wingdings" w:hint="default"/>
      </w:rPr>
    </w:lvl>
  </w:abstractNum>
  <w:abstractNum w:abstractNumId="1" w15:restartNumberingAfterBreak="0">
    <w:nsid w:val="26B82D25"/>
    <w:multiLevelType w:val="multilevel"/>
    <w:tmpl w:val="26B82D25"/>
    <w:lvl w:ilvl="0">
      <w:start w:val="1"/>
      <w:numFmt w:val="decimal"/>
      <w:pStyle w:val="Spisilustracji"/>
      <w:lvlText w:val="%1"/>
      <w:lvlJc w:val="right"/>
      <w:pPr>
        <w:tabs>
          <w:tab w:val="left" w:pos="425"/>
        </w:tabs>
        <w:ind w:left="425" w:hanging="137"/>
      </w:pPr>
      <w:rPr>
        <w:rFonts w:hint="eastAsia"/>
      </w:rPr>
    </w:lvl>
    <w:lvl w:ilvl="1">
      <w:start w:val="1"/>
      <w:numFmt w:val="decimal"/>
      <w:lvlText w:val="%2）"/>
      <w:lvlJc w:val="left"/>
      <w:pPr>
        <w:tabs>
          <w:tab w:val="left" w:pos="855"/>
        </w:tabs>
        <w:ind w:left="855" w:hanging="435"/>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7660336"/>
    <w:multiLevelType w:val="multilevel"/>
    <w:tmpl w:val="37660336"/>
    <w:lvl w:ilvl="0">
      <w:start w:val="1"/>
      <w:numFmt w:val="bullet"/>
      <w:pStyle w:val="bulletlist"/>
      <w:lvlText w:val=""/>
      <w:lvlJc w:val="left"/>
      <w:pPr>
        <w:tabs>
          <w:tab w:val="left" w:pos="648"/>
        </w:tabs>
        <w:ind w:left="648"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3D5646A0"/>
    <w:multiLevelType w:val="multilevel"/>
    <w:tmpl w:val="3D5646A0"/>
    <w:lvl w:ilvl="0">
      <w:start w:val="1"/>
      <w:numFmt w:val="bullet"/>
      <w:pStyle w:val="wypunktowania"/>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2B61102"/>
    <w:multiLevelType w:val="multilevel"/>
    <w:tmpl w:val="42B61102"/>
    <w:lvl w:ilvl="0">
      <w:start w:val="5"/>
      <w:numFmt w:val="decimal"/>
      <w:pStyle w:val="Nagwek1"/>
      <w:lvlText w:val="%1."/>
      <w:lvlJc w:val="left"/>
      <w:pPr>
        <w:ind w:left="502"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B41302A"/>
    <w:multiLevelType w:val="multilevel"/>
    <w:tmpl w:val="4B41302A"/>
    <w:lvl w:ilvl="0">
      <w:start w:val="1"/>
      <w:numFmt w:val="decimal"/>
      <w:pStyle w:val="bibiografia"/>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4CE41B9D"/>
    <w:multiLevelType w:val="singleLevel"/>
    <w:tmpl w:val="4CE41B9D"/>
    <w:lvl w:ilvl="0">
      <w:start w:val="6"/>
      <w:numFmt w:val="decimal"/>
      <w:pStyle w:val="a0"/>
      <w:lvlText w:val="%1．"/>
      <w:lvlJc w:val="left"/>
      <w:pPr>
        <w:tabs>
          <w:tab w:val="left" w:pos="360"/>
        </w:tabs>
        <w:ind w:left="360" w:hanging="360"/>
      </w:pPr>
      <w:rPr>
        <w:rFonts w:hint="eastAsia"/>
      </w:rPr>
    </w:lvl>
  </w:abstractNum>
  <w:abstractNum w:abstractNumId="7" w15:restartNumberingAfterBreak="0">
    <w:nsid w:val="52CA544A"/>
    <w:multiLevelType w:val="singleLevel"/>
    <w:tmpl w:val="52CA544A"/>
    <w:lvl w:ilvl="0">
      <w:start w:val="1"/>
      <w:numFmt w:val="decimal"/>
      <w:pStyle w:val="references"/>
      <w:lvlText w:val="[%1]"/>
      <w:lvlJc w:val="left"/>
      <w:pPr>
        <w:tabs>
          <w:tab w:val="left" w:pos="360"/>
        </w:tabs>
        <w:ind w:left="360" w:hanging="360"/>
      </w:pPr>
      <w:rPr>
        <w:rFonts w:ascii="Times New Roman" w:hAnsi="Times New Roman" w:cs="Times New Roman" w:hint="default"/>
        <w:b w:val="0"/>
        <w:bCs w:val="0"/>
        <w:i w:val="0"/>
        <w:iCs w:val="0"/>
        <w:sz w:val="16"/>
        <w:szCs w:val="16"/>
      </w:rPr>
    </w:lvl>
  </w:abstractNum>
  <w:abstractNum w:abstractNumId="8" w15:restartNumberingAfterBreak="0">
    <w:nsid w:val="71604DCD"/>
    <w:multiLevelType w:val="singleLevel"/>
    <w:tmpl w:val="71604DCD"/>
    <w:lvl w:ilvl="0">
      <w:start w:val="1"/>
      <w:numFmt w:val="decimal"/>
      <w:pStyle w:val="Reference"/>
      <w:lvlText w:val="%1."/>
      <w:lvlJc w:val="left"/>
      <w:pPr>
        <w:tabs>
          <w:tab w:val="left" w:pos="360"/>
        </w:tabs>
        <w:ind w:left="360" w:hanging="360"/>
      </w:pPr>
    </w:lvl>
  </w:abstractNum>
  <w:abstractNum w:abstractNumId="9" w15:restartNumberingAfterBreak="0">
    <w:nsid w:val="75F21060"/>
    <w:multiLevelType w:val="singleLevel"/>
    <w:tmpl w:val="75F21060"/>
    <w:lvl w:ilvl="0">
      <w:start w:val="1"/>
      <w:numFmt w:val="decimal"/>
      <w:pStyle w:val="a1"/>
      <w:lvlText w:val="%1．"/>
      <w:lvlJc w:val="left"/>
      <w:pPr>
        <w:tabs>
          <w:tab w:val="left" w:pos="315"/>
        </w:tabs>
        <w:ind w:left="315" w:hanging="315"/>
      </w:pPr>
      <w:rPr>
        <w:rFonts w:hint="eastAsia"/>
      </w:rPr>
    </w:lvl>
  </w:abstractNum>
  <w:num w:numId="1">
    <w:abstractNumId w:val="4"/>
  </w:num>
  <w:num w:numId="2">
    <w:abstractNumId w:val="1"/>
  </w:num>
  <w:num w:numId="3">
    <w:abstractNumId w:val="3"/>
  </w:num>
  <w:num w:numId="4">
    <w:abstractNumId w:val="5"/>
  </w:num>
  <w:num w:numId="5">
    <w:abstractNumId w:val="8"/>
  </w:num>
  <w:num w:numId="6">
    <w:abstractNumId w:val="0"/>
  </w:num>
  <w:num w:numId="7">
    <w:abstractNumId w:val="9"/>
  </w:num>
  <w:num w:numId="8">
    <w:abstractNumId w:val="6"/>
  </w:num>
  <w:num w:numId="9">
    <w:abstractNumId w:val="7"/>
  </w:num>
  <w:num w:numId="10">
    <w:abstractNumId w:val="2"/>
  </w:num>
  <w:num w:numId="11">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bordersDoNotSurroundHeader/>
  <w:bordersDoNotSurroundFooter/>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7C3"/>
    <w:rsid w:val="00005294"/>
    <w:rsid w:val="0001412B"/>
    <w:rsid w:val="00021FBC"/>
    <w:rsid w:val="00027D3D"/>
    <w:rsid w:val="00034317"/>
    <w:rsid w:val="00037D28"/>
    <w:rsid w:val="000402F1"/>
    <w:rsid w:val="000523A7"/>
    <w:rsid w:val="00052DF4"/>
    <w:rsid w:val="00063751"/>
    <w:rsid w:val="00071B36"/>
    <w:rsid w:val="000804D9"/>
    <w:rsid w:val="0008680A"/>
    <w:rsid w:val="00090ED2"/>
    <w:rsid w:val="00097C63"/>
    <w:rsid w:val="000A2092"/>
    <w:rsid w:val="000A3B72"/>
    <w:rsid w:val="000B1253"/>
    <w:rsid w:val="000B3D77"/>
    <w:rsid w:val="000C1337"/>
    <w:rsid w:val="000C16A0"/>
    <w:rsid w:val="00107C72"/>
    <w:rsid w:val="00110383"/>
    <w:rsid w:val="00114815"/>
    <w:rsid w:val="0012160B"/>
    <w:rsid w:val="00123F62"/>
    <w:rsid w:val="001261CA"/>
    <w:rsid w:val="001351CF"/>
    <w:rsid w:val="00144F3A"/>
    <w:rsid w:val="00155695"/>
    <w:rsid w:val="00157907"/>
    <w:rsid w:val="00191D5F"/>
    <w:rsid w:val="00191EBF"/>
    <w:rsid w:val="001A3460"/>
    <w:rsid w:val="001A67F5"/>
    <w:rsid w:val="001C6B9E"/>
    <w:rsid w:val="001D0951"/>
    <w:rsid w:val="001D1730"/>
    <w:rsid w:val="001D2869"/>
    <w:rsid w:val="001D468D"/>
    <w:rsid w:val="001D6EC9"/>
    <w:rsid w:val="001E4B2E"/>
    <w:rsid w:val="001E6050"/>
    <w:rsid w:val="001E77B3"/>
    <w:rsid w:val="001F4B25"/>
    <w:rsid w:val="00201517"/>
    <w:rsid w:val="00203A26"/>
    <w:rsid w:val="00207CE1"/>
    <w:rsid w:val="002109B5"/>
    <w:rsid w:val="00213CF7"/>
    <w:rsid w:val="00216AEA"/>
    <w:rsid w:val="002173E5"/>
    <w:rsid w:val="0022079E"/>
    <w:rsid w:val="00221B3A"/>
    <w:rsid w:val="002239B7"/>
    <w:rsid w:val="00226BC1"/>
    <w:rsid w:val="00236293"/>
    <w:rsid w:val="002410F9"/>
    <w:rsid w:val="0025551F"/>
    <w:rsid w:val="002572AA"/>
    <w:rsid w:val="002619FF"/>
    <w:rsid w:val="00267452"/>
    <w:rsid w:val="00271BCB"/>
    <w:rsid w:val="002776D4"/>
    <w:rsid w:val="00281AB2"/>
    <w:rsid w:val="00285FF2"/>
    <w:rsid w:val="00286317"/>
    <w:rsid w:val="00286977"/>
    <w:rsid w:val="0028784E"/>
    <w:rsid w:val="00297771"/>
    <w:rsid w:val="002A65CE"/>
    <w:rsid w:val="002B1BD1"/>
    <w:rsid w:val="002B3921"/>
    <w:rsid w:val="002B4844"/>
    <w:rsid w:val="002B4F69"/>
    <w:rsid w:val="002B6B37"/>
    <w:rsid w:val="002B7323"/>
    <w:rsid w:val="002C5CFF"/>
    <w:rsid w:val="002D273B"/>
    <w:rsid w:val="002E0EAA"/>
    <w:rsid w:val="002E12CA"/>
    <w:rsid w:val="002E293C"/>
    <w:rsid w:val="002E5394"/>
    <w:rsid w:val="002F1F7E"/>
    <w:rsid w:val="002F2B3A"/>
    <w:rsid w:val="002F7B15"/>
    <w:rsid w:val="00316D2E"/>
    <w:rsid w:val="00317174"/>
    <w:rsid w:val="003215BC"/>
    <w:rsid w:val="003248CD"/>
    <w:rsid w:val="0033023A"/>
    <w:rsid w:val="003370CF"/>
    <w:rsid w:val="003427E9"/>
    <w:rsid w:val="00353727"/>
    <w:rsid w:val="00360065"/>
    <w:rsid w:val="00360FA1"/>
    <w:rsid w:val="0036315E"/>
    <w:rsid w:val="003646AD"/>
    <w:rsid w:val="00364E74"/>
    <w:rsid w:val="00383210"/>
    <w:rsid w:val="00384CEC"/>
    <w:rsid w:val="00392231"/>
    <w:rsid w:val="00393F7C"/>
    <w:rsid w:val="003979DD"/>
    <w:rsid w:val="003A24BA"/>
    <w:rsid w:val="003B5289"/>
    <w:rsid w:val="003B773C"/>
    <w:rsid w:val="003C2896"/>
    <w:rsid w:val="003C4219"/>
    <w:rsid w:val="003C4D08"/>
    <w:rsid w:val="003C4EE3"/>
    <w:rsid w:val="003D2559"/>
    <w:rsid w:val="003E430C"/>
    <w:rsid w:val="003E7C28"/>
    <w:rsid w:val="003E7C2C"/>
    <w:rsid w:val="003F7C27"/>
    <w:rsid w:val="003F7C29"/>
    <w:rsid w:val="00402E9E"/>
    <w:rsid w:val="00405538"/>
    <w:rsid w:val="00407B63"/>
    <w:rsid w:val="004138A6"/>
    <w:rsid w:val="00414A1E"/>
    <w:rsid w:val="0042126B"/>
    <w:rsid w:val="00431F2F"/>
    <w:rsid w:val="00434933"/>
    <w:rsid w:val="00435A30"/>
    <w:rsid w:val="00437F75"/>
    <w:rsid w:val="00443A64"/>
    <w:rsid w:val="00450D1E"/>
    <w:rsid w:val="00457215"/>
    <w:rsid w:val="00470555"/>
    <w:rsid w:val="0047509B"/>
    <w:rsid w:val="00483754"/>
    <w:rsid w:val="00484760"/>
    <w:rsid w:val="00493FDF"/>
    <w:rsid w:val="004A0B71"/>
    <w:rsid w:val="004A46D1"/>
    <w:rsid w:val="004A5B15"/>
    <w:rsid w:val="004B0103"/>
    <w:rsid w:val="004B0B7C"/>
    <w:rsid w:val="004B2FDD"/>
    <w:rsid w:val="004B384E"/>
    <w:rsid w:val="004B40E8"/>
    <w:rsid w:val="004C2867"/>
    <w:rsid w:val="004D2557"/>
    <w:rsid w:val="004D6E73"/>
    <w:rsid w:val="004D7251"/>
    <w:rsid w:val="004E13DF"/>
    <w:rsid w:val="004F0518"/>
    <w:rsid w:val="00500E1B"/>
    <w:rsid w:val="00504BD4"/>
    <w:rsid w:val="00511D43"/>
    <w:rsid w:val="00512AB2"/>
    <w:rsid w:val="00514A79"/>
    <w:rsid w:val="00515B92"/>
    <w:rsid w:val="005312ED"/>
    <w:rsid w:val="005313BD"/>
    <w:rsid w:val="00534DAA"/>
    <w:rsid w:val="005407E2"/>
    <w:rsid w:val="00546BB3"/>
    <w:rsid w:val="00555FBF"/>
    <w:rsid w:val="00565382"/>
    <w:rsid w:val="0056594C"/>
    <w:rsid w:val="00570DAA"/>
    <w:rsid w:val="005777F4"/>
    <w:rsid w:val="005800DF"/>
    <w:rsid w:val="00585E11"/>
    <w:rsid w:val="0059679C"/>
    <w:rsid w:val="005B3B93"/>
    <w:rsid w:val="005B4534"/>
    <w:rsid w:val="005B68BC"/>
    <w:rsid w:val="005C1508"/>
    <w:rsid w:val="005D17D4"/>
    <w:rsid w:val="005F3EA3"/>
    <w:rsid w:val="005F68EF"/>
    <w:rsid w:val="00600E66"/>
    <w:rsid w:val="00602AA2"/>
    <w:rsid w:val="00604E3D"/>
    <w:rsid w:val="0060540F"/>
    <w:rsid w:val="00606D80"/>
    <w:rsid w:val="0060704C"/>
    <w:rsid w:val="006078BC"/>
    <w:rsid w:val="00632A10"/>
    <w:rsid w:val="00633D62"/>
    <w:rsid w:val="00634F53"/>
    <w:rsid w:val="00642CB6"/>
    <w:rsid w:val="0064438B"/>
    <w:rsid w:val="006457C3"/>
    <w:rsid w:val="00654412"/>
    <w:rsid w:val="006600FE"/>
    <w:rsid w:val="0066166D"/>
    <w:rsid w:val="00667398"/>
    <w:rsid w:val="00670DAD"/>
    <w:rsid w:val="00676314"/>
    <w:rsid w:val="0068347A"/>
    <w:rsid w:val="006940BC"/>
    <w:rsid w:val="006B2B6C"/>
    <w:rsid w:val="006B2FF1"/>
    <w:rsid w:val="006C1109"/>
    <w:rsid w:val="006C19E3"/>
    <w:rsid w:val="006C5680"/>
    <w:rsid w:val="006D0C54"/>
    <w:rsid w:val="006D5AB5"/>
    <w:rsid w:val="006E1D52"/>
    <w:rsid w:val="006E3590"/>
    <w:rsid w:val="006E5DDC"/>
    <w:rsid w:val="006E6EA8"/>
    <w:rsid w:val="006F2817"/>
    <w:rsid w:val="00707D0C"/>
    <w:rsid w:val="00713BA6"/>
    <w:rsid w:val="0071713B"/>
    <w:rsid w:val="00724098"/>
    <w:rsid w:val="00727F4A"/>
    <w:rsid w:val="0073091D"/>
    <w:rsid w:val="00746B64"/>
    <w:rsid w:val="007474AF"/>
    <w:rsid w:val="00754562"/>
    <w:rsid w:val="00754A33"/>
    <w:rsid w:val="00760071"/>
    <w:rsid w:val="007615F8"/>
    <w:rsid w:val="0076486C"/>
    <w:rsid w:val="00770310"/>
    <w:rsid w:val="007761ED"/>
    <w:rsid w:val="00784994"/>
    <w:rsid w:val="007857B5"/>
    <w:rsid w:val="00785CED"/>
    <w:rsid w:val="007939CA"/>
    <w:rsid w:val="0079650B"/>
    <w:rsid w:val="007A0449"/>
    <w:rsid w:val="007A0A5F"/>
    <w:rsid w:val="007A2912"/>
    <w:rsid w:val="007A722A"/>
    <w:rsid w:val="007B416C"/>
    <w:rsid w:val="007B7DF0"/>
    <w:rsid w:val="007C0261"/>
    <w:rsid w:val="007C1030"/>
    <w:rsid w:val="007C1CA9"/>
    <w:rsid w:val="007C47F7"/>
    <w:rsid w:val="007D1FF9"/>
    <w:rsid w:val="007D3A38"/>
    <w:rsid w:val="007D73D2"/>
    <w:rsid w:val="007E0448"/>
    <w:rsid w:val="007E3842"/>
    <w:rsid w:val="007E5D57"/>
    <w:rsid w:val="007F0133"/>
    <w:rsid w:val="007F07A1"/>
    <w:rsid w:val="007F1862"/>
    <w:rsid w:val="008034C7"/>
    <w:rsid w:val="00806114"/>
    <w:rsid w:val="00814D07"/>
    <w:rsid w:val="00825FBC"/>
    <w:rsid w:val="008273FA"/>
    <w:rsid w:val="00827C6F"/>
    <w:rsid w:val="008376DC"/>
    <w:rsid w:val="00837EDC"/>
    <w:rsid w:val="0084194C"/>
    <w:rsid w:val="00852ADD"/>
    <w:rsid w:val="008555D3"/>
    <w:rsid w:val="00881102"/>
    <w:rsid w:val="00881AB8"/>
    <w:rsid w:val="00882398"/>
    <w:rsid w:val="008828CF"/>
    <w:rsid w:val="00890651"/>
    <w:rsid w:val="008A42B2"/>
    <w:rsid w:val="008A4B88"/>
    <w:rsid w:val="008B0E4F"/>
    <w:rsid w:val="008C51BA"/>
    <w:rsid w:val="008C5F06"/>
    <w:rsid w:val="008D59BD"/>
    <w:rsid w:val="008D72C1"/>
    <w:rsid w:val="008E13A5"/>
    <w:rsid w:val="008E1E9B"/>
    <w:rsid w:val="008F2CE0"/>
    <w:rsid w:val="008F5AF8"/>
    <w:rsid w:val="0090720A"/>
    <w:rsid w:val="00914EFD"/>
    <w:rsid w:val="009157D5"/>
    <w:rsid w:val="00920965"/>
    <w:rsid w:val="00922A1D"/>
    <w:rsid w:val="009278EC"/>
    <w:rsid w:val="0093168E"/>
    <w:rsid w:val="00932FD3"/>
    <w:rsid w:val="00934FC2"/>
    <w:rsid w:val="0093548E"/>
    <w:rsid w:val="0093669A"/>
    <w:rsid w:val="0094016B"/>
    <w:rsid w:val="00942C1F"/>
    <w:rsid w:val="009532F0"/>
    <w:rsid w:val="009605E4"/>
    <w:rsid w:val="00965083"/>
    <w:rsid w:val="00967502"/>
    <w:rsid w:val="009734E9"/>
    <w:rsid w:val="00983283"/>
    <w:rsid w:val="0098417C"/>
    <w:rsid w:val="00992AAE"/>
    <w:rsid w:val="009957C5"/>
    <w:rsid w:val="009A4477"/>
    <w:rsid w:val="009C299F"/>
    <w:rsid w:val="009C3ED3"/>
    <w:rsid w:val="009C7EC1"/>
    <w:rsid w:val="009D38C0"/>
    <w:rsid w:val="009E6EC1"/>
    <w:rsid w:val="009F28AB"/>
    <w:rsid w:val="00A030BB"/>
    <w:rsid w:val="00A12E93"/>
    <w:rsid w:val="00A1341E"/>
    <w:rsid w:val="00A25D35"/>
    <w:rsid w:val="00A42CA0"/>
    <w:rsid w:val="00A42F14"/>
    <w:rsid w:val="00A52A75"/>
    <w:rsid w:val="00A5514D"/>
    <w:rsid w:val="00A5715C"/>
    <w:rsid w:val="00A603A6"/>
    <w:rsid w:val="00A61468"/>
    <w:rsid w:val="00A66770"/>
    <w:rsid w:val="00A674E8"/>
    <w:rsid w:val="00A67F11"/>
    <w:rsid w:val="00A748C0"/>
    <w:rsid w:val="00A773B8"/>
    <w:rsid w:val="00A7751C"/>
    <w:rsid w:val="00A807F0"/>
    <w:rsid w:val="00A922D4"/>
    <w:rsid w:val="00A94201"/>
    <w:rsid w:val="00A94F93"/>
    <w:rsid w:val="00AA2B9D"/>
    <w:rsid w:val="00AB2DF2"/>
    <w:rsid w:val="00AC1193"/>
    <w:rsid w:val="00AD064C"/>
    <w:rsid w:val="00AD096F"/>
    <w:rsid w:val="00AD3821"/>
    <w:rsid w:val="00AD5913"/>
    <w:rsid w:val="00AE0914"/>
    <w:rsid w:val="00AE49C6"/>
    <w:rsid w:val="00B02226"/>
    <w:rsid w:val="00B044B5"/>
    <w:rsid w:val="00B05EBB"/>
    <w:rsid w:val="00B14C3C"/>
    <w:rsid w:val="00B2155F"/>
    <w:rsid w:val="00B220BD"/>
    <w:rsid w:val="00B31154"/>
    <w:rsid w:val="00B3314D"/>
    <w:rsid w:val="00B4619E"/>
    <w:rsid w:val="00B46567"/>
    <w:rsid w:val="00B47439"/>
    <w:rsid w:val="00B474E9"/>
    <w:rsid w:val="00B51B65"/>
    <w:rsid w:val="00B5636E"/>
    <w:rsid w:val="00B56882"/>
    <w:rsid w:val="00B62714"/>
    <w:rsid w:val="00B635CE"/>
    <w:rsid w:val="00B662FF"/>
    <w:rsid w:val="00B66479"/>
    <w:rsid w:val="00B66704"/>
    <w:rsid w:val="00B71A5F"/>
    <w:rsid w:val="00B75F29"/>
    <w:rsid w:val="00B8141F"/>
    <w:rsid w:val="00B81622"/>
    <w:rsid w:val="00B906D7"/>
    <w:rsid w:val="00B93A8A"/>
    <w:rsid w:val="00B95523"/>
    <w:rsid w:val="00BB29B4"/>
    <w:rsid w:val="00BB441E"/>
    <w:rsid w:val="00BB4DEB"/>
    <w:rsid w:val="00BC29C9"/>
    <w:rsid w:val="00BD2F3B"/>
    <w:rsid w:val="00BD51B9"/>
    <w:rsid w:val="00BE37E5"/>
    <w:rsid w:val="00BF23C1"/>
    <w:rsid w:val="00BF32C1"/>
    <w:rsid w:val="00BF52D4"/>
    <w:rsid w:val="00BF6683"/>
    <w:rsid w:val="00C0071C"/>
    <w:rsid w:val="00C0579B"/>
    <w:rsid w:val="00C10A12"/>
    <w:rsid w:val="00C12074"/>
    <w:rsid w:val="00C144F4"/>
    <w:rsid w:val="00C162C5"/>
    <w:rsid w:val="00C26327"/>
    <w:rsid w:val="00C30C66"/>
    <w:rsid w:val="00C34B74"/>
    <w:rsid w:val="00C37D53"/>
    <w:rsid w:val="00C5240F"/>
    <w:rsid w:val="00C55412"/>
    <w:rsid w:val="00C56429"/>
    <w:rsid w:val="00C57E5E"/>
    <w:rsid w:val="00C62351"/>
    <w:rsid w:val="00C76902"/>
    <w:rsid w:val="00C82580"/>
    <w:rsid w:val="00C82E9D"/>
    <w:rsid w:val="00C862DE"/>
    <w:rsid w:val="00C863F8"/>
    <w:rsid w:val="00C9211C"/>
    <w:rsid w:val="00C932B6"/>
    <w:rsid w:val="00C955BF"/>
    <w:rsid w:val="00C96B3B"/>
    <w:rsid w:val="00CA2910"/>
    <w:rsid w:val="00CA3ED2"/>
    <w:rsid w:val="00CA451B"/>
    <w:rsid w:val="00CA4576"/>
    <w:rsid w:val="00CC2A70"/>
    <w:rsid w:val="00CC2E94"/>
    <w:rsid w:val="00CD2497"/>
    <w:rsid w:val="00CD5AF8"/>
    <w:rsid w:val="00CD7CDC"/>
    <w:rsid w:val="00CE248E"/>
    <w:rsid w:val="00CE3318"/>
    <w:rsid w:val="00CE6164"/>
    <w:rsid w:val="00D001B4"/>
    <w:rsid w:val="00D01614"/>
    <w:rsid w:val="00D02CAE"/>
    <w:rsid w:val="00D033D7"/>
    <w:rsid w:val="00D12518"/>
    <w:rsid w:val="00D14E18"/>
    <w:rsid w:val="00D16894"/>
    <w:rsid w:val="00D171D9"/>
    <w:rsid w:val="00D2359E"/>
    <w:rsid w:val="00D2507E"/>
    <w:rsid w:val="00D3192F"/>
    <w:rsid w:val="00D43989"/>
    <w:rsid w:val="00D44C99"/>
    <w:rsid w:val="00D55D8B"/>
    <w:rsid w:val="00D62A1A"/>
    <w:rsid w:val="00D733D7"/>
    <w:rsid w:val="00D74CA8"/>
    <w:rsid w:val="00D76A78"/>
    <w:rsid w:val="00D77537"/>
    <w:rsid w:val="00D8193A"/>
    <w:rsid w:val="00DA0342"/>
    <w:rsid w:val="00DA0F26"/>
    <w:rsid w:val="00DA1829"/>
    <w:rsid w:val="00DA70D4"/>
    <w:rsid w:val="00DB0946"/>
    <w:rsid w:val="00DB4FEC"/>
    <w:rsid w:val="00DB5BB6"/>
    <w:rsid w:val="00DB75E0"/>
    <w:rsid w:val="00DB7E7E"/>
    <w:rsid w:val="00DC099E"/>
    <w:rsid w:val="00DD1034"/>
    <w:rsid w:val="00DE4712"/>
    <w:rsid w:val="00DE4AED"/>
    <w:rsid w:val="00DE6017"/>
    <w:rsid w:val="00DF0971"/>
    <w:rsid w:val="00DF2D22"/>
    <w:rsid w:val="00E04267"/>
    <w:rsid w:val="00E14803"/>
    <w:rsid w:val="00E2146A"/>
    <w:rsid w:val="00E21670"/>
    <w:rsid w:val="00E2217C"/>
    <w:rsid w:val="00E2567C"/>
    <w:rsid w:val="00E25FBD"/>
    <w:rsid w:val="00E26664"/>
    <w:rsid w:val="00E316C2"/>
    <w:rsid w:val="00E33FC2"/>
    <w:rsid w:val="00E35032"/>
    <w:rsid w:val="00E36239"/>
    <w:rsid w:val="00E44D10"/>
    <w:rsid w:val="00E621FC"/>
    <w:rsid w:val="00E638C0"/>
    <w:rsid w:val="00E64900"/>
    <w:rsid w:val="00E6751D"/>
    <w:rsid w:val="00E74997"/>
    <w:rsid w:val="00E75EAA"/>
    <w:rsid w:val="00E77EC0"/>
    <w:rsid w:val="00EA4497"/>
    <w:rsid w:val="00EA5424"/>
    <w:rsid w:val="00EA7653"/>
    <w:rsid w:val="00EB728F"/>
    <w:rsid w:val="00ED0507"/>
    <w:rsid w:val="00ED6E89"/>
    <w:rsid w:val="00ED7785"/>
    <w:rsid w:val="00ED79E0"/>
    <w:rsid w:val="00EE1E74"/>
    <w:rsid w:val="00F04FA2"/>
    <w:rsid w:val="00F051FA"/>
    <w:rsid w:val="00F233E4"/>
    <w:rsid w:val="00F2474A"/>
    <w:rsid w:val="00F31269"/>
    <w:rsid w:val="00F32168"/>
    <w:rsid w:val="00F365DE"/>
    <w:rsid w:val="00F3779E"/>
    <w:rsid w:val="00F4188A"/>
    <w:rsid w:val="00F45127"/>
    <w:rsid w:val="00F46C24"/>
    <w:rsid w:val="00F55FDA"/>
    <w:rsid w:val="00F71D42"/>
    <w:rsid w:val="00F741A2"/>
    <w:rsid w:val="00F74CAE"/>
    <w:rsid w:val="00F8274B"/>
    <w:rsid w:val="00F82DDB"/>
    <w:rsid w:val="00F940D1"/>
    <w:rsid w:val="00F943DB"/>
    <w:rsid w:val="00F96271"/>
    <w:rsid w:val="00F966CF"/>
    <w:rsid w:val="00FB54A6"/>
    <w:rsid w:val="00FB6D14"/>
    <w:rsid w:val="00FC3206"/>
    <w:rsid w:val="00FC390F"/>
    <w:rsid w:val="00FC7A14"/>
    <w:rsid w:val="00FD1EA3"/>
    <w:rsid w:val="00FD6F12"/>
    <w:rsid w:val="00FE289B"/>
    <w:rsid w:val="00FE435E"/>
    <w:rsid w:val="00FE7CEB"/>
    <w:rsid w:val="00FF48E5"/>
    <w:rsid w:val="16CA2AB1"/>
    <w:rsid w:val="2860248C"/>
    <w:rsid w:val="2C9B693C"/>
    <w:rsid w:val="33882BB4"/>
    <w:rsid w:val="33EE0B79"/>
    <w:rsid w:val="354F1D05"/>
    <w:rsid w:val="5F690714"/>
    <w:rsid w:val="7E4B2F3F"/>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2C9D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0" w:unhideWhenUsed="1" w:qFormat="1"/>
    <w:lsdException w:name="heading 5" w:uiPriority="0" w:qFormat="1"/>
    <w:lsdException w:name="heading 6" w:uiPriority="0" w:qFormat="1"/>
    <w:lsdException w:name="heading 7" w:uiPriority="0"/>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iPriority="0" w:qFormat="1"/>
    <w:lsdException w:name="annotation reference" w:semiHidden="1" w:qFormat="1"/>
    <w:lsdException w:name="line number" w:semiHidden="1" w:unhideWhenUsed="1" w:qFormat="1"/>
    <w:lsdException w:name="page number" w:uiPriority="0" w:qFormat="1"/>
    <w:lsdException w:name="endnote reference" w:semiHidden="1" w:uiPriority="0"/>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nhideWhenUsed="1" w:qFormat="1"/>
    <w:lsdException w:name="FollowedHyperlink" w:uiPriority="0" w:unhideWhenUsed="1" w:qFormat="1"/>
    <w:lsdException w:name="Strong" w:uiPriority="0" w:qFormat="1"/>
    <w:lsdException w:name="Emphasis" w:uiPriority="20"/>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39" w:unhideWhenUsed="1"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jc w:val="both"/>
    </w:pPr>
    <w:rPr>
      <w:rFonts w:ascii="Calibri" w:eastAsia="SimSun" w:hAnsi="Calibri" w:cs="Times New Roman"/>
      <w:kern w:val="2"/>
      <w:sz w:val="21"/>
      <w:szCs w:val="24"/>
      <w:lang w:val="en-US" w:eastAsia="zh-CN"/>
    </w:rPr>
  </w:style>
  <w:style w:type="paragraph" w:styleId="Nagwek1">
    <w:name w:val="heading 1"/>
    <w:basedOn w:val="Normalny"/>
    <w:link w:val="Nagwek1Znak"/>
    <w:autoRedefine/>
    <w:uiPriority w:val="9"/>
    <w:qFormat/>
    <w:pPr>
      <w:numPr>
        <w:numId w:val="1"/>
      </w:numPr>
      <w:tabs>
        <w:tab w:val="left" w:pos="567"/>
      </w:tabs>
      <w:spacing w:before="120" w:after="120"/>
      <w:contextualSpacing/>
      <w:outlineLvl w:val="0"/>
    </w:pPr>
    <w:rPr>
      <w:rFonts w:ascii="Times New Roman" w:eastAsia="Times New Roman" w:hAnsi="Times New Roman"/>
      <w:b/>
      <w:bCs/>
      <w:kern w:val="36"/>
      <w:sz w:val="20"/>
      <w:szCs w:val="20"/>
      <w:lang w:eastAsia="pl-PL"/>
    </w:rPr>
  </w:style>
  <w:style w:type="paragraph" w:styleId="Nagwek2">
    <w:name w:val="heading 2"/>
    <w:basedOn w:val="Normalny"/>
    <w:next w:val="Normalny"/>
    <w:link w:val="Nagwek2Znak"/>
    <w:autoRedefine/>
    <w:uiPriority w:val="9"/>
    <w:unhideWhenUsed/>
    <w:qFormat/>
    <w:pPr>
      <w:keepNext/>
      <w:keepLines/>
      <w:spacing w:before="120" w:after="120"/>
      <w:ind w:firstLine="181"/>
      <w:outlineLvl w:val="1"/>
    </w:pPr>
    <w:rPr>
      <w:rFonts w:ascii="Times New Roman" w:eastAsiaTheme="majorEastAsia" w:hAnsi="Times New Roman"/>
      <w:b/>
      <w:bCs/>
      <w:sz w:val="20"/>
      <w:szCs w:val="20"/>
    </w:rPr>
  </w:style>
  <w:style w:type="paragraph" w:styleId="Nagwek3">
    <w:name w:val="heading 3"/>
    <w:basedOn w:val="Normalny"/>
    <w:next w:val="Normalny"/>
    <w:link w:val="Nagwek3Znak"/>
    <w:uiPriority w:val="9"/>
    <w:unhideWhenUsed/>
    <w:qFormat/>
    <w:pPr>
      <w:keepNext/>
      <w:keepLines/>
      <w:spacing w:before="40"/>
      <w:outlineLvl w:val="2"/>
    </w:pPr>
    <w:rPr>
      <w:rFonts w:asciiTheme="majorHAnsi" w:eastAsiaTheme="majorEastAsia" w:hAnsiTheme="majorHAnsi" w:cstheme="majorBidi"/>
      <w:color w:val="1F3864" w:themeColor="accent1" w:themeShade="80"/>
      <w:sz w:val="24"/>
    </w:rPr>
  </w:style>
  <w:style w:type="paragraph" w:styleId="Nagwek4">
    <w:name w:val="heading 4"/>
    <w:basedOn w:val="Normalny"/>
    <w:next w:val="Normalny"/>
    <w:link w:val="Nagwek4Znak"/>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Wcicienormalne"/>
    <w:link w:val="Nagwek5Znak"/>
    <w:qFormat/>
    <w:pPr>
      <w:keepNext/>
      <w:tabs>
        <w:tab w:val="center" w:pos="2313"/>
        <w:tab w:val="right" w:pos="4631"/>
      </w:tabs>
      <w:topLinePunct/>
      <w:adjustRightInd w:val="0"/>
      <w:snapToGrid w:val="0"/>
      <w:spacing w:line="312" w:lineRule="atLeast"/>
      <w:jc w:val="center"/>
      <w:outlineLvl w:val="4"/>
    </w:pPr>
    <w:rPr>
      <w:rFonts w:ascii="Cambria" w:hAnsi="Cambria"/>
      <w:i/>
      <w:sz w:val="18"/>
      <w:szCs w:val="20"/>
    </w:rPr>
  </w:style>
  <w:style w:type="paragraph" w:styleId="Nagwek6">
    <w:name w:val="heading 6"/>
    <w:basedOn w:val="Normalny"/>
    <w:next w:val="Normalny"/>
    <w:link w:val="Nagwek6Znak"/>
    <w:qFormat/>
    <w:pPr>
      <w:keepNext/>
      <w:tabs>
        <w:tab w:val="center" w:pos="2313"/>
        <w:tab w:val="right" w:pos="4631"/>
      </w:tabs>
      <w:jc w:val="center"/>
      <w:outlineLvl w:val="5"/>
    </w:pPr>
    <w:rPr>
      <w:rFonts w:ascii="Cambria" w:hAnsi="Cambria"/>
      <w:i/>
      <w:sz w:val="13"/>
      <w:szCs w:val="20"/>
    </w:rPr>
  </w:style>
  <w:style w:type="paragraph" w:styleId="Nagwek7">
    <w:name w:val="heading 7"/>
    <w:basedOn w:val="Normalny"/>
    <w:next w:val="Normalny"/>
    <w:link w:val="Nagwek7Znak"/>
    <w:pPr>
      <w:keepNext/>
      <w:tabs>
        <w:tab w:val="center" w:pos="2313"/>
        <w:tab w:val="right" w:pos="4631"/>
      </w:tabs>
      <w:jc w:val="center"/>
      <w:outlineLvl w:val="6"/>
    </w:pPr>
    <w:rPr>
      <w:rFonts w:ascii="Cambria" w:hAnsi="Cambria"/>
      <w:b/>
      <w:i/>
      <w:sz w:val="15"/>
      <w:szCs w:val="20"/>
    </w:rPr>
  </w:style>
  <w:style w:type="paragraph" w:styleId="Nagwek8">
    <w:name w:val="heading 8"/>
    <w:basedOn w:val="Normalny"/>
    <w:next w:val="Normalny"/>
    <w:link w:val="Nagwek8Znak"/>
    <w:qFormat/>
    <w:pPr>
      <w:keepNext/>
      <w:tabs>
        <w:tab w:val="center" w:pos="2313"/>
        <w:tab w:val="right" w:pos="4631"/>
      </w:tabs>
      <w:topLinePunct/>
      <w:adjustRightInd w:val="0"/>
      <w:snapToGrid w:val="0"/>
      <w:spacing w:line="312" w:lineRule="atLeast"/>
      <w:jc w:val="center"/>
      <w:outlineLvl w:val="7"/>
    </w:pPr>
    <w:rPr>
      <w:rFonts w:ascii="Cambria" w:hAnsi="Cambria"/>
      <w:i/>
      <w:iCs/>
      <w:color w:val="000000"/>
      <w:sz w:val="18"/>
      <w:szCs w:val="18"/>
    </w:rPr>
  </w:style>
  <w:style w:type="paragraph" w:styleId="Nagwek9">
    <w:name w:val="heading 9"/>
    <w:basedOn w:val="Normalny"/>
    <w:next w:val="Normalny"/>
    <w:link w:val="Nagwek9Znak"/>
    <w:qFormat/>
    <w:pPr>
      <w:keepNext/>
      <w:tabs>
        <w:tab w:val="center" w:pos="2313"/>
        <w:tab w:val="right" w:pos="4631"/>
      </w:tabs>
      <w:topLinePunct/>
      <w:adjustRightInd w:val="0"/>
      <w:snapToGrid w:val="0"/>
      <w:spacing w:after="20" w:line="230" w:lineRule="atLeast"/>
      <w:outlineLvl w:val="8"/>
    </w:pPr>
    <w:rPr>
      <w:rFonts w:ascii="Cambria" w:hAnsi="Cambria"/>
      <w:b/>
      <w:bCs/>
      <w:i/>
      <w:iCs/>
      <w:color w:val="000000"/>
      <w:sz w:val="15"/>
      <w:szCs w:val="1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qFormat/>
    <w:pPr>
      <w:tabs>
        <w:tab w:val="center" w:pos="2313"/>
        <w:tab w:val="right" w:pos="4631"/>
      </w:tabs>
      <w:ind w:firstLine="420"/>
    </w:pPr>
    <w:rPr>
      <w:rFonts w:ascii="Cambria" w:hAnsi="Cambria"/>
      <w:sz w:val="18"/>
      <w:szCs w:val="20"/>
    </w:rPr>
  </w:style>
  <w:style w:type="paragraph" w:styleId="Legenda">
    <w:name w:val="caption"/>
    <w:basedOn w:val="Normalny"/>
    <w:next w:val="Normalny"/>
    <w:uiPriority w:val="35"/>
    <w:unhideWhenUsed/>
    <w:qFormat/>
    <w:pPr>
      <w:spacing w:after="200"/>
    </w:pPr>
    <w:rPr>
      <w:rFonts w:ascii="Times New Roman" w:hAnsi="Times New Roman"/>
      <w:b/>
      <w:bCs/>
      <w:color w:val="4472C4" w:themeColor="accent1"/>
      <w:sz w:val="18"/>
      <w:szCs w:val="18"/>
      <w:lang w:eastAsia="pl-PL"/>
    </w:rPr>
  </w:style>
  <w:style w:type="paragraph" w:styleId="Mapadokumentu">
    <w:name w:val="Document Map"/>
    <w:basedOn w:val="Normalny"/>
    <w:link w:val="MapadokumentuZnak"/>
    <w:semiHidden/>
    <w:qFormat/>
    <w:pPr>
      <w:shd w:val="clear" w:color="auto" w:fill="000080"/>
      <w:tabs>
        <w:tab w:val="center" w:pos="2313"/>
        <w:tab w:val="right" w:pos="4631"/>
      </w:tabs>
    </w:pPr>
    <w:rPr>
      <w:rFonts w:ascii="Cambria" w:hAnsi="Cambria"/>
      <w:sz w:val="18"/>
      <w:szCs w:val="20"/>
    </w:rPr>
  </w:style>
  <w:style w:type="paragraph" w:styleId="Tekstkomentarza">
    <w:name w:val="annotation text"/>
    <w:basedOn w:val="Normalny"/>
    <w:link w:val="TekstkomentarzaZnak"/>
    <w:uiPriority w:val="99"/>
    <w:unhideWhenUsed/>
    <w:qFormat/>
    <w:rPr>
      <w:sz w:val="20"/>
      <w:szCs w:val="20"/>
    </w:rPr>
  </w:style>
  <w:style w:type="paragraph" w:styleId="Tekstpodstawowy3">
    <w:name w:val="Body Text 3"/>
    <w:basedOn w:val="Normalny"/>
    <w:link w:val="Tekstpodstawowy3Znak"/>
    <w:qFormat/>
    <w:pPr>
      <w:tabs>
        <w:tab w:val="center" w:pos="2313"/>
        <w:tab w:val="right" w:pos="4631"/>
      </w:tabs>
      <w:topLinePunct/>
      <w:adjustRightInd w:val="0"/>
      <w:snapToGrid w:val="0"/>
      <w:spacing w:line="312" w:lineRule="atLeast"/>
    </w:pPr>
    <w:rPr>
      <w:rFonts w:ascii="Cambria" w:hAnsi="Cambria"/>
      <w:sz w:val="18"/>
      <w:szCs w:val="20"/>
    </w:rPr>
  </w:style>
  <w:style w:type="paragraph" w:styleId="Tekstpodstawowy">
    <w:name w:val="Body Text"/>
    <w:basedOn w:val="Normalny"/>
    <w:link w:val="TekstpodstawowyZnak"/>
    <w:qFormat/>
    <w:pPr>
      <w:tabs>
        <w:tab w:val="center" w:pos="2313"/>
        <w:tab w:val="right" w:pos="4631"/>
      </w:tabs>
    </w:pPr>
    <w:rPr>
      <w:rFonts w:ascii="Cambria" w:hAnsi="Cambria"/>
      <w:sz w:val="28"/>
      <w:szCs w:val="20"/>
    </w:rPr>
  </w:style>
  <w:style w:type="paragraph" w:styleId="Tekstpodstawowywcity">
    <w:name w:val="Body Text Indent"/>
    <w:basedOn w:val="Normalny"/>
    <w:link w:val="TekstpodstawowywcityZnak"/>
    <w:qFormat/>
    <w:pPr>
      <w:tabs>
        <w:tab w:val="center" w:pos="2313"/>
        <w:tab w:val="right" w:pos="4631"/>
      </w:tabs>
    </w:pPr>
    <w:rPr>
      <w:rFonts w:ascii="SimSun" w:hAnsi="Cambria"/>
      <w:color w:val="000000"/>
      <w:sz w:val="18"/>
      <w:szCs w:val="20"/>
      <w:lang w:val="de-DE"/>
    </w:rPr>
  </w:style>
  <w:style w:type="paragraph" w:styleId="Tekstblokowy">
    <w:name w:val="Block Text"/>
    <w:basedOn w:val="Normalny"/>
    <w:qFormat/>
    <w:pPr>
      <w:tabs>
        <w:tab w:val="center" w:pos="2313"/>
        <w:tab w:val="right" w:pos="4631"/>
      </w:tabs>
      <w:ind w:left="319" w:right="-693" w:firstLine="350"/>
    </w:pPr>
    <w:rPr>
      <w:rFonts w:ascii="Cambria" w:hAnsi="Cambria"/>
      <w:sz w:val="28"/>
      <w:szCs w:val="20"/>
    </w:rPr>
  </w:style>
  <w:style w:type="paragraph" w:styleId="Zwykytekst">
    <w:name w:val="Plain Text"/>
    <w:basedOn w:val="Normalny"/>
    <w:link w:val="ZwykytekstZnak"/>
    <w:qFormat/>
    <w:pPr>
      <w:tabs>
        <w:tab w:val="center" w:pos="2313"/>
        <w:tab w:val="right" w:pos="4631"/>
      </w:tabs>
    </w:pPr>
    <w:rPr>
      <w:rFonts w:ascii="SimSun" w:hAnsi="Courier New"/>
      <w:sz w:val="18"/>
      <w:szCs w:val="20"/>
    </w:rPr>
  </w:style>
  <w:style w:type="paragraph" w:styleId="Tekstpodstawowywcity2">
    <w:name w:val="Body Text Indent 2"/>
    <w:basedOn w:val="Normalny"/>
    <w:link w:val="Tekstpodstawowywcity2Znak"/>
    <w:qFormat/>
    <w:pPr>
      <w:tabs>
        <w:tab w:val="center" w:pos="2313"/>
        <w:tab w:val="right" w:pos="4631"/>
      </w:tabs>
      <w:adjustRightInd w:val="0"/>
      <w:snapToGrid w:val="0"/>
      <w:spacing w:line="313" w:lineRule="atLeast"/>
      <w:ind w:left="266" w:hanging="266"/>
    </w:pPr>
    <w:rPr>
      <w:rFonts w:ascii="Cambria" w:hAnsi="Cambria"/>
      <w:sz w:val="18"/>
      <w:szCs w:val="20"/>
    </w:rPr>
  </w:style>
  <w:style w:type="paragraph" w:styleId="Tekstprzypisukocowego">
    <w:name w:val="endnote text"/>
    <w:basedOn w:val="Normalny"/>
    <w:link w:val="TekstprzypisukocowegoZnak"/>
    <w:semiHidden/>
    <w:qFormat/>
    <w:pPr>
      <w:tabs>
        <w:tab w:val="center" w:pos="2313"/>
        <w:tab w:val="right" w:pos="4631"/>
      </w:tabs>
      <w:snapToGrid w:val="0"/>
      <w:jc w:val="left"/>
    </w:pPr>
    <w:rPr>
      <w:rFonts w:ascii="Cambria" w:hAnsi="Cambria"/>
      <w:sz w:val="18"/>
    </w:rPr>
  </w:style>
  <w:style w:type="paragraph" w:styleId="Tekstdymka">
    <w:name w:val="Balloon Text"/>
    <w:basedOn w:val="Normalny"/>
    <w:link w:val="TekstdymkaZnak"/>
    <w:uiPriority w:val="99"/>
    <w:semiHidden/>
    <w:qFormat/>
    <w:pPr>
      <w:tabs>
        <w:tab w:val="center" w:pos="2313"/>
        <w:tab w:val="right" w:pos="4631"/>
      </w:tabs>
    </w:pPr>
    <w:rPr>
      <w:rFonts w:ascii="Cambria" w:hAnsi="Cambria"/>
      <w:sz w:val="18"/>
      <w:szCs w:val="18"/>
    </w:rPr>
  </w:style>
  <w:style w:type="paragraph" w:styleId="Stopka">
    <w:name w:val="footer"/>
    <w:basedOn w:val="Normalny"/>
    <w:link w:val="StopkaZnak"/>
    <w:uiPriority w:val="99"/>
    <w:unhideWhenUsed/>
    <w:qFormat/>
    <w:pPr>
      <w:tabs>
        <w:tab w:val="center" w:pos="4536"/>
        <w:tab w:val="right" w:pos="9072"/>
      </w:tabs>
    </w:pPr>
  </w:style>
  <w:style w:type="paragraph" w:styleId="Nagwek">
    <w:name w:val="header"/>
    <w:basedOn w:val="Normalny"/>
    <w:link w:val="NagwekZnak"/>
    <w:uiPriority w:val="99"/>
    <w:unhideWhenUsed/>
    <w:qFormat/>
    <w:pPr>
      <w:tabs>
        <w:tab w:val="center" w:pos="4536"/>
        <w:tab w:val="right" w:pos="9072"/>
      </w:tabs>
    </w:pPr>
  </w:style>
  <w:style w:type="paragraph" w:styleId="Tekstprzypisudolnego">
    <w:name w:val="footnote text"/>
    <w:basedOn w:val="Normalny"/>
    <w:link w:val="TekstprzypisudolnegoZnak"/>
    <w:semiHidden/>
    <w:qFormat/>
    <w:pPr>
      <w:tabs>
        <w:tab w:val="center" w:pos="2313"/>
        <w:tab w:val="right" w:pos="4631"/>
      </w:tabs>
      <w:snapToGrid w:val="0"/>
      <w:jc w:val="left"/>
    </w:pPr>
    <w:rPr>
      <w:rFonts w:ascii="Cambria" w:hAnsi="Cambria"/>
      <w:sz w:val="18"/>
      <w:szCs w:val="20"/>
    </w:rPr>
  </w:style>
  <w:style w:type="paragraph" w:styleId="Tekstpodstawowywcity3">
    <w:name w:val="Body Text Indent 3"/>
    <w:basedOn w:val="Normalny"/>
    <w:link w:val="Tekstpodstawowywcity3Znak"/>
    <w:qFormat/>
    <w:pPr>
      <w:tabs>
        <w:tab w:val="center" w:pos="2313"/>
        <w:tab w:val="right" w:pos="4631"/>
      </w:tabs>
      <w:adjustRightInd w:val="0"/>
      <w:snapToGrid w:val="0"/>
      <w:spacing w:line="312" w:lineRule="atLeast"/>
      <w:ind w:left="284" w:hanging="284"/>
    </w:pPr>
    <w:rPr>
      <w:rFonts w:ascii="Cambria" w:hAnsi="Cambria"/>
      <w:color w:val="000000"/>
      <w:sz w:val="18"/>
      <w:szCs w:val="20"/>
      <w:lang w:val="de-DE"/>
    </w:rPr>
  </w:style>
  <w:style w:type="paragraph" w:styleId="Spisilustracji">
    <w:name w:val="table of figures"/>
    <w:basedOn w:val="Normalny"/>
    <w:next w:val="Normalny"/>
    <w:semiHidden/>
    <w:qFormat/>
    <w:pPr>
      <w:numPr>
        <w:numId w:val="2"/>
      </w:numPr>
      <w:tabs>
        <w:tab w:val="center" w:pos="2313"/>
        <w:tab w:val="right" w:pos="4631"/>
      </w:tabs>
      <w:snapToGrid w:val="0"/>
      <w:spacing w:line="230" w:lineRule="exact"/>
      <w:ind w:hanging="136"/>
    </w:pPr>
    <w:rPr>
      <w:rFonts w:ascii="Cambria" w:eastAsia="方正书宋简体" w:hAnsi="Cambria"/>
      <w:spacing w:val="4"/>
      <w:sz w:val="15"/>
      <w:szCs w:val="20"/>
    </w:rPr>
  </w:style>
  <w:style w:type="paragraph" w:styleId="Spistreci2">
    <w:name w:val="toc 2"/>
    <w:basedOn w:val="Normalny"/>
    <w:next w:val="Normalny"/>
    <w:autoRedefine/>
    <w:semiHidden/>
    <w:qFormat/>
    <w:pPr>
      <w:tabs>
        <w:tab w:val="center" w:pos="2313"/>
        <w:tab w:val="right" w:pos="4631"/>
      </w:tabs>
      <w:ind w:left="420"/>
    </w:pPr>
    <w:rPr>
      <w:rFonts w:ascii="Cambria" w:hAnsi="Cambria"/>
      <w:sz w:val="18"/>
      <w:szCs w:val="22"/>
    </w:rPr>
  </w:style>
  <w:style w:type="paragraph" w:styleId="Tekstpodstawowy2">
    <w:name w:val="Body Text 2"/>
    <w:basedOn w:val="Normalny"/>
    <w:link w:val="Tekstpodstawowy2Znak"/>
    <w:qFormat/>
    <w:pPr>
      <w:tabs>
        <w:tab w:val="center" w:pos="2313"/>
        <w:tab w:val="right" w:pos="4631"/>
      </w:tabs>
      <w:jc w:val="center"/>
    </w:pPr>
    <w:rPr>
      <w:rFonts w:ascii="Cambria" w:hAnsi="Cambria"/>
      <w:b/>
      <w:sz w:val="24"/>
      <w:szCs w:val="20"/>
    </w:rPr>
  </w:style>
  <w:style w:type="paragraph" w:styleId="HTML-wstpniesformatowany">
    <w:name w:val="HTML Preformatted"/>
    <w:basedOn w:val="Normalny"/>
    <w:link w:val="HTML-wstpniesformatowanyZnak"/>
    <w:qFormat/>
    <w:pPr>
      <w:widowControl/>
      <w:tabs>
        <w:tab w:val="left" w:pos="916"/>
        <w:tab w:val="left" w:pos="1832"/>
        <w:tab w:val="center" w:pos="2313"/>
        <w:tab w:val="left" w:pos="2748"/>
        <w:tab w:val="left" w:pos="3664"/>
        <w:tab w:val="left" w:pos="4580"/>
        <w:tab w:val="right" w:pos="4631"/>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cs="SimSun"/>
      <w:kern w:val="0"/>
      <w:sz w:val="24"/>
    </w:rPr>
  </w:style>
  <w:style w:type="paragraph" w:styleId="NormalnyWeb">
    <w:name w:val="Normal (Web)"/>
    <w:basedOn w:val="Normalny"/>
    <w:unhideWhenUsed/>
    <w:qFormat/>
    <w:pPr>
      <w:spacing w:before="100" w:beforeAutospacing="1" w:after="100" w:afterAutospacing="1"/>
    </w:pPr>
    <w:rPr>
      <w:rFonts w:ascii="Times New Roman" w:eastAsia="Times New Roman" w:hAnsi="Times New Roman"/>
      <w:sz w:val="24"/>
      <w:lang w:val="hr-HR" w:eastAsia="hr-HR"/>
    </w:rPr>
  </w:style>
  <w:style w:type="paragraph" w:styleId="Tytu">
    <w:name w:val="Title"/>
    <w:basedOn w:val="Normalny"/>
    <w:next w:val="Normalny"/>
    <w:link w:val="TytuZnak"/>
    <w:qFormat/>
    <w:pPr>
      <w:contextualSpacing/>
    </w:pPr>
    <w:rPr>
      <w:rFonts w:asciiTheme="majorHAnsi" w:eastAsiaTheme="majorEastAsia" w:hAnsiTheme="majorHAnsi" w:cstheme="majorBidi"/>
      <w:spacing w:val="-10"/>
      <w:kern w:val="28"/>
      <w:sz w:val="56"/>
      <w:szCs w:val="56"/>
    </w:rPr>
  </w:style>
  <w:style w:type="paragraph" w:styleId="Tematkomentarza">
    <w:name w:val="annotation subject"/>
    <w:basedOn w:val="Tekstkomentarza"/>
    <w:next w:val="Tekstkomentarza"/>
    <w:link w:val="TematkomentarzaZnak"/>
    <w:uiPriority w:val="99"/>
    <w:semiHidden/>
    <w:qFormat/>
    <w:pPr>
      <w:tabs>
        <w:tab w:val="center" w:pos="2313"/>
        <w:tab w:val="right" w:pos="4631"/>
      </w:tabs>
      <w:jc w:val="left"/>
    </w:pPr>
    <w:rPr>
      <w:rFonts w:ascii="Cambria" w:hAnsi="Cambria"/>
      <w:b/>
      <w:bCs/>
      <w:sz w:val="18"/>
    </w:rPr>
  </w:style>
  <w:style w:type="paragraph" w:styleId="Tekstpodstawowyzwciciem">
    <w:name w:val="Body Text First Indent"/>
    <w:basedOn w:val="Normalny"/>
    <w:link w:val="TekstpodstawowyzwciciemZnak"/>
    <w:qFormat/>
    <w:pPr>
      <w:tabs>
        <w:tab w:val="center" w:pos="2313"/>
        <w:tab w:val="right" w:pos="4631"/>
      </w:tabs>
      <w:ind w:firstLineChars="200" w:firstLine="498"/>
    </w:pPr>
    <w:rPr>
      <w:rFonts w:ascii="Cambria" w:hAnsi="Cambria"/>
      <w:sz w:val="24"/>
      <w:szCs w:val="20"/>
    </w:rPr>
  </w:style>
  <w:style w:type="table" w:styleId="Tabela-Siatka">
    <w:name w:val="Table Grid"/>
    <w:basedOn w:val="Standardowy"/>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akcent1">
    <w:name w:val="Light Shading Accent 1"/>
    <w:basedOn w:val="Standardowy"/>
    <w:uiPriority w:val="60"/>
    <w:semiHidden/>
    <w:unhideWhenUsed/>
    <w:qFormat/>
    <w:rPr>
      <w:color w:val="2F5496" w:themeColor="accent1" w:themeShade="BF"/>
    </w:rPr>
    <w:tblPr>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Pogrubienie">
    <w:name w:val="Strong"/>
    <w:qFormat/>
    <w:rPr>
      <w:b/>
    </w:rPr>
  </w:style>
  <w:style w:type="character" w:styleId="Odwoanieprzypisukocowego">
    <w:name w:val="endnote reference"/>
    <w:semiHidden/>
    <w:rPr>
      <w:vertAlign w:val="superscript"/>
    </w:rPr>
  </w:style>
  <w:style w:type="character" w:styleId="Numerstrony">
    <w:name w:val="page number"/>
    <w:basedOn w:val="Domylnaczcionkaakapitu"/>
    <w:qFormat/>
  </w:style>
  <w:style w:type="character" w:styleId="UyteHipercze">
    <w:name w:val="FollowedHyperlink"/>
    <w:basedOn w:val="Domylnaczcionkaakapitu"/>
    <w:unhideWhenUsed/>
    <w:qFormat/>
    <w:rPr>
      <w:color w:val="954F72" w:themeColor="followedHyperlink"/>
      <w:u w:val="single"/>
    </w:rPr>
  </w:style>
  <w:style w:type="character" w:styleId="Numerwiersza">
    <w:name w:val="line number"/>
    <w:basedOn w:val="Domylnaczcionkaakapitu"/>
    <w:uiPriority w:val="99"/>
    <w:semiHidden/>
    <w:unhideWhenUsed/>
    <w:qFormat/>
  </w:style>
  <w:style w:type="character" w:styleId="Hipercze">
    <w:name w:val="Hyperlink"/>
    <w:basedOn w:val="Domylnaczcionkaakapitu"/>
    <w:uiPriority w:val="99"/>
    <w:unhideWhenUsed/>
    <w:qFormat/>
    <w:rPr>
      <w:color w:val="0563C1" w:themeColor="hyperlink"/>
      <w:u w:val="single"/>
    </w:rPr>
  </w:style>
  <w:style w:type="character" w:styleId="Odwoaniedokomentarza">
    <w:name w:val="annotation reference"/>
    <w:uiPriority w:val="99"/>
    <w:semiHidden/>
    <w:qFormat/>
    <w:rPr>
      <w:sz w:val="21"/>
      <w:szCs w:val="21"/>
    </w:rPr>
  </w:style>
  <w:style w:type="character" w:styleId="Odwoanieprzypisudolnego">
    <w:name w:val="footnote reference"/>
    <w:semiHidden/>
    <w:qFormat/>
    <w:rPr>
      <w:vertAlign w:val="superscript"/>
    </w:rPr>
  </w:style>
  <w:style w:type="paragraph" w:styleId="Akapitzlist">
    <w:name w:val="List Paragraph"/>
    <w:basedOn w:val="Normalny"/>
    <w:link w:val="AkapitzlistZnak"/>
    <w:uiPriority w:val="34"/>
    <w:qFormat/>
    <w:pPr>
      <w:ind w:left="720"/>
      <w:contextualSpacing/>
    </w:pPr>
  </w:style>
  <w:style w:type="character" w:customStyle="1" w:styleId="Nagwek1Znak">
    <w:name w:val="Nagłówek 1 Znak"/>
    <w:basedOn w:val="Domylnaczcionkaakapitu"/>
    <w:link w:val="Nagwek1"/>
    <w:uiPriority w:val="9"/>
    <w:qFormat/>
    <w:rPr>
      <w:rFonts w:ascii="Times New Roman" w:eastAsia="Times New Roman" w:hAnsi="Times New Roman" w:cs="Times New Roman"/>
      <w:b/>
      <w:bCs/>
      <w:kern w:val="36"/>
      <w:sz w:val="20"/>
      <w:szCs w:val="20"/>
      <w:lang w:val="en-US" w:eastAsia="pl-PL"/>
    </w:rPr>
  </w:style>
  <w:style w:type="character" w:customStyle="1" w:styleId="NagwekZnak">
    <w:name w:val="Nagłówek Znak"/>
    <w:basedOn w:val="Domylnaczcionkaakapitu"/>
    <w:link w:val="Nagwek"/>
    <w:uiPriority w:val="99"/>
    <w:qFormat/>
  </w:style>
  <w:style w:type="character" w:customStyle="1" w:styleId="StopkaZnak">
    <w:name w:val="Stopka Znak"/>
    <w:basedOn w:val="Domylnaczcionkaakapitu"/>
    <w:link w:val="Stopka"/>
    <w:uiPriority w:val="99"/>
    <w:qFormat/>
  </w:style>
  <w:style w:type="character" w:customStyle="1" w:styleId="Nagwek2Znak">
    <w:name w:val="Nagłówek 2 Znak"/>
    <w:basedOn w:val="Domylnaczcionkaakapitu"/>
    <w:link w:val="Nagwek2"/>
    <w:uiPriority w:val="9"/>
    <w:qFormat/>
    <w:rPr>
      <w:rFonts w:ascii="Times New Roman" w:eastAsiaTheme="majorEastAsia" w:hAnsi="Times New Roman" w:cs="Times New Roman"/>
      <w:b/>
      <w:bCs/>
      <w:kern w:val="2"/>
      <w:sz w:val="20"/>
      <w:szCs w:val="20"/>
      <w:lang w:val="en-US" w:eastAsia="zh-CN"/>
    </w:rPr>
  </w:style>
  <w:style w:type="character" w:customStyle="1" w:styleId="AkapitzlistZnak">
    <w:name w:val="Akapit z listą Znak"/>
    <w:link w:val="Akapitzlist"/>
    <w:uiPriority w:val="34"/>
    <w:qFormat/>
  </w:style>
  <w:style w:type="character" w:customStyle="1" w:styleId="Nierozpoznanawzmianka1">
    <w:name w:val="Nierozpoznana wzmianka1"/>
    <w:basedOn w:val="Domylnaczcionkaakapitu"/>
    <w:uiPriority w:val="99"/>
    <w:semiHidden/>
    <w:unhideWhenUsed/>
    <w:qFormat/>
    <w:rPr>
      <w:color w:val="605E5C"/>
      <w:shd w:val="clear" w:color="auto" w:fill="E1DFDD"/>
    </w:rPr>
  </w:style>
  <w:style w:type="character" w:styleId="Tekstzastpczy">
    <w:name w:val="Placeholder Text"/>
    <w:basedOn w:val="Domylnaczcionkaakapitu"/>
    <w:uiPriority w:val="99"/>
    <w:semiHidden/>
    <w:qFormat/>
    <w:rPr>
      <w:color w:val="808080"/>
    </w:rPr>
  </w:style>
  <w:style w:type="paragraph" w:customStyle="1" w:styleId="abstrakt">
    <w:name w:val="abstrakt"/>
    <w:basedOn w:val="Normalny"/>
    <w:link w:val="abstraktZnak"/>
    <w:qFormat/>
    <w:rPr>
      <w:rFonts w:ascii="Times New Roman" w:hAnsi="Times New Roman"/>
      <w:sz w:val="20"/>
      <w:szCs w:val="20"/>
      <w:lang w:val="sr-Latn-BA"/>
    </w:rPr>
  </w:style>
  <w:style w:type="paragraph" w:customStyle="1" w:styleId="tekstgowny">
    <w:name w:val="tekst głowny"/>
    <w:basedOn w:val="Normalny"/>
    <w:link w:val="tekstgownyZnak"/>
    <w:qFormat/>
    <w:pPr>
      <w:spacing w:line="259" w:lineRule="auto"/>
      <w:ind w:firstLine="284"/>
      <w:contextualSpacing/>
    </w:pPr>
    <w:rPr>
      <w:rFonts w:ascii="Times New Roman" w:hAnsi="Times New Roman"/>
      <w:sz w:val="20"/>
      <w:szCs w:val="20"/>
      <w:lang w:val="sr-Latn-BA"/>
    </w:rPr>
  </w:style>
  <w:style w:type="character" w:customStyle="1" w:styleId="abstraktZnak">
    <w:name w:val="abstrakt Znak"/>
    <w:basedOn w:val="Domylnaczcionkaakapitu"/>
    <w:link w:val="abstrakt"/>
    <w:qFormat/>
    <w:rPr>
      <w:rFonts w:ascii="Times New Roman" w:hAnsi="Times New Roman"/>
      <w:sz w:val="20"/>
      <w:szCs w:val="20"/>
      <w:lang w:val="sr-Latn-BA"/>
    </w:rPr>
  </w:style>
  <w:style w:type="character" w:customStyle="1" w:styleId="tekstgownyZnak">
    <w:name w:val="tekst głowny Znak"/>
    <w:basedOn w:val="Domylnaczcionkaakapitu"/>
    <w:link w:val="tekstgowny"/>
    <w:qFormat/>
    <w:rPr>
      <w:rFonts w:ascii="Times New Roman" w:eastAsia="SimSun" w:hAnsi="Times New Roman" w:cs="Times New Roman"/>
      <w:kern w:val="2"/>
      <w:sz w:val="20"/>
      <w:szCs w:val="20"/>
      <w:lang w:val="sr-Latn-BA" w:eastAsia="zh-CN"/>
    </w:rPr>
  </w:style>
  <w:style w:type="paragraph" w:customStyle="1" w:styleId="wzory">
    <w:name w:val="wzory"/>
    <w:basedOn w:val="tekstgowny"/>
    <w:link w:val="wzoryZnak"/>
    <w:qFormat/>
    <w:pPr>
      <w:jc w:val="right"/>
    </w:pPr>
    <w:rPr>
      <w:rFonts w:ascii="Cambria Math" w:eastAsia="Calibri"/>
    </w:rPr>
  </w:style>
  <w:style w:type="paragraph" w:customStyle="1" w:styleId="wypunktowania">
    <w:name w:val="wypunktowania"/>
    <w:basedOn w:val="Akapitzlist"/>
    <w:link w:val="wypunktowaniaZnak"/>
    <w:qFormat/>
    <w:pPr>
      <w:numPr>
        <w:numId w:val="3"/>
      </w:numPr>
      <w:ind w:right="-1"/>
    </w:pPr>
    <w:rPr>
      <w:rFonts w:ascii="Times New Roman" w:hAnsi="Times New Roman"/>
      <w:sz w:val="20"/>
      <w:szCs w:val="20"/>
      <w:lang w:val="sr-Latn-BA"/>
    </w:rPr>
  </w:style>
  <w:style w:type="character" w:customStyle="1" w:styleId="wzoryZnak">
    <w:name w:val="wzory Znak"/>
    <w:basedOn w:val="tekstgownyZnak"/>
    <w:link w:val="wzory"/>
    <w:qFormat/>
    <w:rPr>
      <w:rFonts w:ascii="Cambria Math" w:eastAsia="Calibri" w:hAnsi="Times New Roman" w:cs="Times New Roman"/>
      <w:kern w:val="2"/>
      <w:sz w:val="20"/>
      <w:szCs w:val="20"/>
      <w:lang w:val="sr-Latn-BA" w:eastAsia="zh-CN"/>
    </w:rPr>
  </w:style>
  <w:style w:type="paragraph" w:customStyle="1" w:styleId="bibiografia">
    <w:name w:val="bibiografia"/>
    <w:basedOn w:val="Akapitzlist"/>
    <w:link w:val="bibiografiaZnak"/>
    <w:qFormat/>
    <w:pPr>
      <w:numPr>
        <w:numId w:val="4"/>
      </w:numPr>
    </w:pPr>
    <w:rPr>
      <w:rFonts w:ascii="Times New Roman" w:hAnsi="Times New Roman"/>
      <w:sz w:val="18"/>
      <w:lang w:val="sr-Latn-BA"/>
    </w:rPr>
  </w:style>
  <w:style w:type="character" w:customStyle="1" w:styleId="wypunktowaniaZnak">
    <w:name w:val="wypunktowania Znak"/>
    <w:basedOn w:val="AkapitzlistZnak"/>
    <w:link w:val="wypunktowania"/>
    <w:qFormat/>
    <w:rPr>
      <w:rFonts w:ascii="Times New Roman" w:eastAsia="SimSun" w:hAnsi="Times New Roman" w:cs="Times New Roman"/>
      <w:kern w:val="2"/>
      <w:sz w:val="20"/>
      <w:szCs w:val="20"/>
      <w:lang w:val="sr-Latn-BA" w:eastAsia="zh-CN"/>
    </w:rPr>
  </w:style>
  <w:style w:type="character" w:customStyle="1" w:styleId="bibiografiaZnak">
    <w:name w:val="bibiografia Znak"/>
    <w:basedOn w:val="AkapitzlistZnak"/>
    <w:link w:val="bibiografia"/>
    <w:qFormat/>
    <w:rPr>
      <w:rFonts w:ascii="Times New Roman" w:eastAsia="SimSun" w:hAnsi="Times New Roman" w:cs="Times New Roman"/>
      <w:kern w:val="2"/>
      <w:sz w:val="18"/>
      <w:szCs w:val="24"/>
      <w:lang w:val="sr-Latn-BA" w:eastAsia="zh-CN"/>
    </w:rPr>
  </w:style>
  <w:style w:type="paragraph" w:customStyle="1" w:styleId="1">
    <w:name w:val="样式1"/>
    <w:basedOn w:val="Normalny"/>
    <w:link w:val="1Znak"/>
    <w:qFormat/>
    <w:pPr>
      <w:pBdr>
        <w:top w:val="single" w:sz="4" w:space="1" w:color="auto"/>
        <w:bottom w:val="single" w:sz="4" w:space="1" w:color="auto"/>
      </w:pBdr>
      <w:spacing w:line="280" w:lineRule="exact"/>
      <w:ind w:left="425" w:right="425" w:firstLineChars="100" w:firstLine="320"/>
    </w:pPr>
    <w:rPr>
      <w:rFonts w:ascii="Times New Roman" w:eastAsiaTheme="minorEastAsia" w:hAnsi="Times New Roman"/>
      <w:b/>
      <w:sz w:val="19"/>
      <w:szCs w:val="20"/>
    </w:rPr>
  </w:style>
  <w:style w:type="character" w:customStyle="1" w:styleId="Nagwek3Znak">
    <w:name w:val="Nagłówek 3 Znak"/>
    <w:basedOn w:val="Domylnaczcionkaakapitu"/>
    <w:link w:val="Nagwek3"/>
    <w:uiPriority w:val="9"/>
    <w:qFormat/>
    <w:rPr>
      <w:rFonts w:asciiTheme="majorHAnsi" w:eastAsiaTheme="majorEastAsia" w:hAnsiTheme="majorHAnsi" w:cstheme="majorBidi"/>
      <w:color w:val="1F3864" w:themeColor="accent1" w:themeShade="80"/>
      <w:sz w:val="24"/>
      <w:szCs w:val="24"/>
    </w:rPr>
  </w:style>
  <w:style w:type="table" w:customStyle="1" w:styleId="Tabela-Siatka1">
    <w:name w:val="Tabela - Siatka1"/>
    <w:basedOn w:val="Standardowy"/>
    <w:qFormat/>
    <w:pPr>
      <w:widowControl w:val="0"/>
      <w:jc w:val="both"/>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qFormat/>
    <w:pPr>
      <w:widowControl w:val="0"/>
      <w:jc w:val="both"/>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akluczowe">
    <w:name w:val="słowa kluczowe"/>
    <w:basedOn w:val="1"/>
    <w:link w:val="sowakluczoweZnak"/>
    <w:qFormat/>
    <w:pPr>
      <w:pBdr>
        <w:top w:val="none" w:sz="0" w:space="0" w:color="auto"/>
        <w:bottom w:val="none" w:sz="0" w:space="0" w:color="auto"/>
      </w:pBdr>
      <w:adjustRightInd w:val="0"/>
      <w:spacing w:line="240" w:lineRule="auto"/>
      <w:ind w:left="0" w:right="0" w:firstLineChars="0" w:firstLine="0"/>
      <w:textAlignment w:val="baseline"/>
    </w:pPr>
    <w:rPr>
      <w:rFonts w:eastAsia="SimSun"/>
      <w:b w:val="0"/>
      <w:bCs/>
      <w:iCs/>
      <w:sz w:val="20"/>
    </w:rPr>
  </w:style>
  <w:style w:type="paragraph" w:customStyle="1" w:styleId="rysunek">
    <w:name w:val="rysunek"/>
    <w:basedOn w:val="Normalny"/>
    <w:link w:val="rysunekZnak"/>
    <w:qFormat/>
    <w:pPr>
      <w:jc w:val="center"/>
    </w:pPr>
    <w:rPr>
      <w:rFonts w:ascii="Times New Roman" w:hAnsi="Times New Roman"/>
      <w:sz w:val="20"/>
      <w:szCs w:val="20"/>
      <w:lang w:eastAsia="pl-PL"/>
    </w:rPr>
  </w:style>
  <w:style w:type="character" w:customStyle="1" w:styleId="1Znak">
    <w:name w:val="样式1 Znak"/>
    <w:basedOn w:val="Domylnaczcionkaakapitu"/>
    <w:link w:val="1"/>
    <w:qFormat/>
    <w:rPr>
      <w:rFonts w:ascii="Times New Roman" w:eastAsiaTheme="minorEastAsia" w:hAnsi="Times New Roman"/>
      <w:b/>
      <w:kern w:val="2"/>
      <w:sz w:val="19"/>
      <w:szCs w:val="20"/>
      <w:lang w:val="en-US" w:eastAsia="zh-CN"/>
    </w:rPr>
  </w:style>
  <w:style w:type="character" w:customStyle="1" w:styleId="sowakluczoweZnak">
    <w:name w:val="słowa kluczowe Znak"/>
    <w:basedOn w:val="1Znak"/>
    <w:link w:val="sowakluczowe"/>
    <w:qFormat/>
    <w:rPr>
      <w:rFonts w:ascii="Times New Roman" w:eastAsia="SimSun" w:hAnsi="Times New Roman" w:cs="Times New Roman"/>
      <w:b w:val="0"/>
      <w:bCs/>
      <w:iCs/>
      <w:kern w:val="2"/>
      <w:sz w:val="20"/>
      <w:szCs w:val="20"/>
      <w:lang w:val="en-US" w:eastAsia="zh-CN"/>
    </w:rPr>
  </w:style>
  <w:style w:type="paragraph" w:styleId="Bezodstpw">
    <w:name w:val="No Spacing"/>
    <w:uiPriority w:val="1"/>
    <w:qFormat/>
    <w:pPr>
      <w:jc w:val="both"/>
    </w:pPr>
    <w:rPr>
      <w:rFonts w:ascii="Times New Roman" w:hAnsi="Times New Roman"/>
      <w:sz w:val="22"/>
      <w:szCs w:val="22"/>
      <w:lang w:eastAsia="en-US"/>
    </w:rPr>
  </w:style>
  <w:style w:type="character" w:customStyle="1" w:styleId="rysunekZnak">
    <w:name w:val="rysunek Znak"/>
    <w:basedOn w:val="Domylnaczcionkaakapitu"/>
    <w:link w:val="rysunek"/>
    <w:qFormat/>
    <w:rPr>
      <w:rFonts w:ascii="Times New Roman" w:eastAsia="SimSun" w:hAnsi="Times New Roman" w:cs="Times New Roman"/>
      <w:kern w:val="2"/>
      <w:sz w:val="20"/>
      <w:szCs w:val="20"/>
      <w:lang w:val="en-US" w:eastAsia="pl-PL"/>
    </w:rPr>
  </w:style>
  <w:style w:type="paragraph" w:customStyle="1" w:styleId="APEMBesedilo">
    <w:name w:val="APEM Besedilo"/>
    <w:basedOn w:val="Normalny"/>
    <w:link w:val="APEMBesediloZnak"/>
    <w:qFormat/>
    <w:pPr>
      <w:widowControl/>
      <w:tabs>
        <w:tab w:val="left" w:pos="284"/>
      </w:tabs>
    </w:pPr>
    <w:rPr>
      <w:rFonts w:ascii="Cambria" w:eastAsia="Calibri" w:hAnsi="Cambria" w:cs="Arial"/>
      <w:color w:val="000000"/>
      <w:kern w:val="0"/>
      <w:sz w:val="22"/>
      <w:szCs w:val="22"/>
      <w:lang w:val="en-GB" w:eastAsia="en-US"/>
    </w:rPr>
  </w:style>
  <w:style w:type="character" w:customStyle="1" w:styleId="APEMBesediloZnak">
    <w:name w:val="APEM Besedilo Znak"/>
    <w:basedOn w:val="Domylnaczcionkaakapitu"/>
    <w:link w:val="APEMBesedilo"/>
    <w:qFormat/>
    <w:rPr>
      <w:rFonts w:ascii="Cambria" w:eastAsia="Calibri" w:hAnsi="Cambria" w:cs="Arial"/>
      <w:color w:val="000000"/>
      <w:lang w:val="en-GB"/>
    </w:rPr>
  </w:style>
  <w:style w:type="paragraph" w:customStyle="1" w:styleId="5-Text">
    <w:name w:val="5-Text"/>
    <w:link w:val="5-TextZnak"/>
    <w:qFormat/>
    <w:pPr>
      <w:suppressAutoHyphens/>
      <w:jc w:val="both"/>
    </w:pPr>
    <w:rPr>
      <w:rFonts w:ascii="Times New Roman" w:eastAsia="Calibri" w:hAnsi="Times New Roman" w:cs="Arial"/>
      <w:color w:val="000000" w:themeColor="text1"/>
      <w:sz w:val="24"/>
      <w:szCs w:val="24"/>
      <w:lang w:val="en-GB" w:eastAsia="en-US"/>
    </w:rPr>
  </w:style>
  <w:style w:type="character" w:customStyle="1" w:styleId="5-TextZnak">
    <w:name w:val="5-Text Znak"/>
    <w:basedOn w:val="APEMBesediloZnak"/>
    <w:link w:val="5-Text"/>
    <w:qFormat/>
    <w:rPr>
      <w:rFonts w:ascii="Times New Roman" w:eastAsia="Calibri" w:hAnsi="Times New Roman" w:cs="Arial"/>
      <w:color w:val="000000" w:themeColor="text1"/>
      <w:sz w:val="24"/>
      <w:szCs w:val="24"/>
      <w:lang w:val="en-GB"/>
    </w:rPr>
  </w:style>
  <w:style w:type="paragraph" w:customStyle="1" w:styleId="Newparagraph">
    <w:name w:val="New paragraph"/>
    <w:basedOn w:val="Normalny"/>
    <w:qFormat/>
    <w:pPr>
      <w:widowControl/>
      <w:spacing w:line="480" w:lineRule="auto"/>
      <w:ind w:firstLine="720"/>
      <w:jc w:val="left"/>
    </w:pPr>
    <w:rPr>
      <w:rFonts w:ascii="Times New Roman" w:eastAsia="Times New Roman" w:hAnsi="Times New Roman"/>
      <w:kern w:val="0"/>
      <w:sz w:val="24"/>
      <w:lang w:val="en-GB" w:eastAsia="en-GB"/>
    </w:rPr>
  </w:style>
  <w:style w:type="paragraph" w:customStyle="1" w:styleId="podpisrysunek">
    <w:name w:val="podpis rysunek"/>
    <w:basedOn w:val="tekstgowny"/>
    <w:link w:val="podpisrysunekZnak"/>
    <w:qFormat/>
    <w:pPr>
      <w:spacing w:after="60" w:line="240" w:lineRule="auto"/>
      <w:ind w:firstLine="0"/>
      <w:jc w:val="center"/>
    </w:pPr>
  </w:style>
  <w:style w:type="paragraph" w:customStyle="1" w:styleId="tabelapodpis">
    <w:name w:val="tabela podpis"/>
    <w:basedOn w:val="tekstgowny"/>
    <w:link w:val="tabelapodpisZnak"/>
    <w:qFormat/>
    <w:pPr>
      <w:spacing w:before="60" w:line="240" w:lineRule="auto"/>
      <w:ind w:firstLine="0"/>
    </w:pPr>
  </w:style>
  <w:style w:type="character" w:customStyle="1" w:styleId="podpisrysunekZnak">
    <w:name w:val="podpis rysunek Znak"/>
    <w:basedOn w:val="tekstgownyZnak"/>
    <w:link w:val="podpisrysunek"/>
    <w:qFormat/>
    <w:rPr>
      <w:rFonts w:ascii="Times New Roman" w:eastAsia="SimSun" w:hAnsi="Times New Roman" w:cs="Times New Roman"/>
      <w:kern w:val="2"/>
      <w:sz w:val="20"/>
      <w:szCs w:val="20"/>
      <w:lang w:val="sr-Latn-BA" w:eastAsia="zh-CN"/>
    </w:rPr>
  </w:style>
  <w:style w:type="character" w:customStyle="1" w:styleId="tabelapodpisZnak">
    <w:name w:val="tabela podpis Znak"/>
    <w:basedOn w:val="tekstgownyZnak"/>
    <w:link w:val="tabelapodpis"/>
    <w:qFormat/>
    <w:rPr>
      <w:rFonts w:ascii="Times New Roman" w:eastAsia="SimSun" w:hAnsi="Times New Roman" w:cs="Times New Roman"/>
      <w:kern w:val="2"/>
      <w:sz w:val="20"/>
      <w:szCs w:val="20"/>
      <w:lang w:val="sr-Latn-BA" w:eastAsia="zh-CN"/>
    </w:rPr>
  </w:style>
  <w:style w:type="character" w:customStyle="1" w:styleId="TytuZnak">
    <w:name w:val="Tytuł Znak"/>
    <w:basedOn w:val="Domylnaczcionkaakapitu"/>
    <w:link w:val="Tytu"/>
    <w:uiPriority w:val="10"/>
    <w:qFormat/>
    <w:rPr>
      <w:rFonts w:asciiTheme="majorHAnsi" w:eastAsiaTheme="majorEastAsia" w:hAnsiTheme="majorHAnsi" w:cstheme="majorBidi"/>
      <w:spacing w:val="-10"/>
      <w:kern w:val="28"/>
      <w:sz w:val="56"/>
      <w:szCs w:val="56"/>
      <w:lang w:val="en-US" w:eastAsia="zh-CN"/>
    </w:rPr>
  </w:style>
  <w:style w:type="character" w:customStyle="1" w:styleId="10">
    <w:name w:val="未处理的提及1"/>
    <w:basedOn w:val="Domylnaczcionkaakapitu"/>
    <w:uiPriority w:val="99"/>
    <w:semiHidden/>
    <w:unhideWhenUsed/>
    <w:qFormat/>
    <w:rPr>
      <w:color w:val="605E5C"/>
      <w:shd w:val="clear" w:color="auto" w:fill="E1DFDD"/>
    </w:rPr>
  </w:style>
  <w:style w:type="paragraph" w:customStyle="1" w:styleId="Bibliografia1">
    <w:name w:val="Bibliografia1"/>
    <w:basedOn w:val="Normalny"/>
    <w:next w:val="Normalny"/>
    <w:uiPriority w:val="37"/>
    <w:semiHidden/>
    <w:unhideWhenUsed/>
    <w:qFormat/>
  </w:style>
  <w:style w:type="character" w:customStyle="1" w:styleId="Nagwek4Znak">
    <w:name w:val="Nagłówek 4 Znak"/>
    <w:basedOn w:val="Domylnaczcionkaakapitu"/>
    <w:link w:val="Nagwek4"/>
    <w:uiPriority w:val="9"/>
    <w:semiHidden/>
    <w:qFormat/>
    <w:rPr>
      <w:rFonts w:asciiTheme="majorHAnsi" w:eastAsiaTheme="majorEastAsia" w:hAnsiTheme="majorHAnsi" w:cstheme="majorBidi"/>
      <w:i/>
      <w:iCs/>
      <w:color w:val="2F5496" w:themeColor="accent1" w:themeShade="BF"/>
      <w:kern w:val="2"/>
      <w:sz w:val="21"/>
      <w:szCs w:val="24"/>
      <w:lang w:val="en-US" w:eastAsia="zh-CN"/>
    </w:rPr>
  </w:style>
  <w:style w:type="character" w:customStyle="1" w:styleId="Nagwek5Znak">
    <w:name w:val="Nagłówek 5 Znak"/>
    <w:basedOn w:val="Domylnaczcionkaakapitu"/>
    <w:link w:val="Nagwek5"/>
    <w:qFormat/>
    <w:rPr>
      <w:rFonts w:ascii="Cambria" w:eastAsia="SimSun" w:hAnsi="Cambria" w:cs="Times New Roman"/>
      <w:i/>
      <w:kern w:val="2"/>
      <w:sz w:val="18"/>
      <w:szCs w:val="20"/>
      <w:lang w:val="en-US" w:eastAsia="zh-CN"/>
    </w:rPr>
  </w:style>
  <w:style w:type="character" w:customStyle="1" w:styleId="Nagwek6Znak">
    <w:name w:val="Nagłówek 6 Znak"/>
    <w:basedOn w:val="Domylnaczcionkaakapitu"/>
    <w:link w:val="Nagwek6"/>
    <w:qFormat/>
    <w:rPr>
      <w:rFonts w:ascii="Cambria" w:eastAsia="SimSun" w:hAnsi="Cambria" w:cs="Times New Roman"/>
      <w:i/>
      <w:kern w:val="2"/>
      <w:sz w:val="13"/>
      <w:szCs w:val="20"/>
      <w:lang w:val="en-US" w:eastAsia="zh-CN"/>
    </w:rPr>
  </w:style>
  <w:style w:type="character" w:customStyle="1" w:styleId="Nagwek7Znak">
    <w:name w:val="Nagłówek 7 Znak"/>
    <w:basedOn w:val="Domylnaczcionkaakapitu"/>
    <w:link w:val="Nagwek7"/>
    <w:qFormat/>
    <w:rPr>
      <w:rFonts w:ascii="Cambria" w:eastAsia="SimSun" w:hAnsi="Cambria" w:cs="Times New Roman"/>
      <w:b/>
      <w:i/>
      <w:kern w:val="2"/>
      <w:sz w:val="15"/>
      <w:szCs w:val="20"/>
      <w:lang w:val="en-US" w:eastAsia="zh-CN"/>
    </w:rPr>
  </w:style>
  <w:style w:type="character" w:customStyle="1" w:styleId="Nagwek8Znak">
    <w:name w:val="Nagłówek 8 Znak"/>
    <w:basedOn w:val="Domylnaczcionkaakapitu"/>
    <w:link w:val="Nagwek8"/>
    <w:qFormat/>
    <w:rPr>
      <w:rFonts w:ascii="Cambria" w:eastAsia="SimSun" w:hAnsi="Cambria" w:cs="Times New Roman"/>
      <w:i/>
      <w:iCs/>
      <w:color w:val="000000"/>
      <w:kern w:val="2"/>
      <w:sz w:val="18"/>
      <w:szCs w:val="18"/>
      <w:lang w:val="en-US" w:eastAsia="zh-CN"/>
    </w:rPr>
  </w:style>
  <w:style w:type="character" w:customStyle="1" w:styleId="Nagwek9Znak">
    <w:name w:val="Nagłówek 9 Znak"/>
    <w:basedOn w:val="Domylnaczcionkaakapitu"/>
    <w:link w:val="Nagwek9"/>
    <w:qFormat/>
    <w:rPr>
      <w:rFonts w:ascii="Cambria" w:eastAsia="SimSun" w:hAnsi="Cambria" w:cs="Times New Roman"/>
      <w:b/>
      <w:bCs/>
      <w:i/>
      <w:iCs/>
      <w:color w:val="000000"/>
      <w:kern w:val="2"/>
      <w:sz w:val="15"/>
      <w:szCs w:val="15"/>
      <w:lang w:val="en-US" w:eastAsia="zh-CN"/>
    </w:rPr>
  </w:style>
  <w:style w:type="character" w:customStyle="1" w:styleId="TekstpodstawowywcityZnak">
    <w:name w:val="Tekst podstawowy wcięty Znak"/>
    <w:basedOn w:val="Domylnaczcionkaakapitu"/>
    <w:link w:val="Tekstpodstawowywcity"/>
    <w:qFormat/>
    <w:rPr>
      <w:rFonts w:ascii="SimSun" w:eastAsia="SimSun" w:hAnsi="Cambria" w:cs="Times New Roman"/>
      <w:color w:val="000000"/>
      <w:kern w:val="2"/>
      <w:sz w:val="18"/>
      <w:szCs w:val="20"/>
      <w:lang w:val="de-DE" w:eastAsia="zh-CN"/>
    </w:rPr>
  </w:style>
  <w:style w:type="character" w:customStyle="1" w:styleId="TekstprzypisudolnegoZnak">
    <w:name w:val="Tekst przypisu dolnego Znak"/>
    <w:basedOn w:val="Domylnaczcionkaakapitu"/>
    <w:link w:val="Tekstprzypisudolnego"/>
    <w:semiHidden/>
    <w:qFormat/>
    <w:rPr>
      <w:rFonts w:ascii="Cambria" w:eastAsia="SimSun" w:hAnsi="Cambria" w:cs="Times New Roman"/>
      <w:kern w:val="2"/>
      <w:sz w:val="18"/>
      <w:szCs w:val="20"/>
      <w:lang w:val="en-US" w:eastAsia="zh-CN"/>
    </w:rPr>
  </w:style>
  <w:style w:type="character" w:customStyle="1" w:styleId="Tekstpodstawowywcity2Znak">
    <w:name w:val="Tekst podstawowy wcięty 2 Znak"/>
    <w:basedOn w:val="Domylnaczcionkaakapitu"/>
    <w:link w:val="Tekstpodstawowywcity2"/>
    <w:qFormat/>
    <w:rPr>
      <w:rFonts w:ascii="Cambria" w:eastAsia="SimSun" w:hAnsi="Cambria" w:cs="Times New Roman"/>
      <w:kern w:val="2"/>
      <w:sz w:val="18"/>
      <w:szCs w:val="20"/>
      <w:lang w:val="en-US" w:eastAsia="zh-CN"/>
    </w:rPr>
  </w:style>
  <w:style w:type="paragraph" w:customStyle="1" w:styleId="a2">
    <w:name w:val="图"/>
    <w:basedOn w:val="Normalny"/>
    <w:qFormat/>
    <w:pPr>
      <w:tabs>
        <w:tab w:val="center" w:pos="2313"/>
        <w:tab w:val="right" w:pos="4631"/>
      </w:tabs>
      <w:adjustRightInd w:val="0"/>
      <w:snapToGrid w:val="0"/>
      <w:spacing w:before="157" w:line="313" w:lineRule="atLeast"/>
      <w:jc w:val="center"/>
    </w:pPr>
    <w:rPr>
      <w:rFonts w:ascii="SimSun" w:hAnsi="Cambria"/>
      <w:sz w:val="18"/>
      <w:szCs w:val="20"/>
    </w:rPr>
  </w:style>
  <w:style w:type="paragraph" w:customStyle="1" w:styleId="a3">
    <w:name w:val="图说"/>
    <w:basedOn w:val="Normalny"/>
    <w:qFormat/>
    <w:pPr>
      <w:tabs>
        <w:tab w:val="center" w:pos="2313"/>
        <w:tab w:val="right" w:pos="4631"/>
      </w:tabs>
      <w:adjustRightInd w:val="0"/>
      <w:snapToGrid w:val="0"/>
      <w:spacing w:after="157" w:line="313" w:lineRule="atLeast"/>
      <w:jc w:val="center"/>
    </w:pPr>
    <w:rPr>
      <w:rFonts w:ascii="Cambria" w:hAnsi="Cambria"/>
      <w:sz w:val="18"/>
      <w:szCs w:val="20"/>
    </w:rPr>
  </w:style>
  <w:style w:type="paragraph" w:customStyle="1" w:styleId="a4">
    <w:name w:val="参考文献"/>
    <w:basedOn w:val="Nagwek3"/>
    <w:qFormat/>
    <w:pPr>
      <w:tabs>
        <w:tab w:val="center" w:pos="2313"/>
        <w:tab w:val="right" w:pos="4631"/>
      </w:tabs>
      <w:adjustRightInd w:val="0"/>
      <w:spacing w:before="0" w:line="480" w:lineRule="auto"/>
      <w:jc w:val="center"/>
    </w:pPr>
    <w:rPr>
      <w:rFonts w:ascii="Cambria" w:eastAsia="SimHei" w:hAnsi="Cambria" w:cs="Times New Roman"/>
      <w:color w:val="auto"/>
      <w:sz w:val="18"/>
      <w:szCs w:val="20"/>
    </w:rPr>
  </w:style>
  <w:style w:type="paragraph" w:customStyle="1" w:styleId="a5">
    <w:name w:val="作者"/>
    <w:basedOn w:val="Normalny"/>
    <w:qFormat/>
    <w:pPr>
      <w:tabs>
        <w:tab w:val="center" w:pos="2313"/>
        <w:tab w:val="right" w:pos="4631"/>
      </w:tabs>
      <w:adjustRightInd w:val="0"/>
      <w:snapToGrid w:val="0"/>
      <w:spacing w:line="313" w:lineRule="atLeast"/>
      <w:jc w:val="center"/>
    </w:pPr>
    <w:rPr>
      <w:rFonts w:ascii="Cambria" w:eastAsia="FangSong_GB2312" w:hAnsi="Cambria"/>
      <w:sz w:val="28"/>
      <w:szCs w:val="20"/>
    </w:rPr>
  </w:style>
  <w:style w:type="paragraph" w:customStyle="1" w:styleId="a6">
    <w:name w:val="地址"/>
    <w:basedOn w:val="Normalny"/>
    <w:qFormat/>
    <w:pPr>
      <w:tabs>
        <w:tab w:val="center" w:pos="2313"/>
        <w:tab w:val="right" w:pos="4631"/>
      </w:tabs>
      <w:adjustRightInd w:val="0"/>
      <w:snapToGrid w:val="0"/>
      <w:spacing w:line="313" w:lineRule="atLeast"/>
      <w:jc w:val="center"/>
    </w:pPr>
    <w:rPr>
      <w:rFonts w:ascii="Cambria" w:hAnsi="Cambria"/>
      <w:sz w:val="18"/>
      <w:szCs w:val="20"/>
    </w:rPr>
  </w:style>
  <w:style w:type="character" w:customStyle="1" w:styleId="Tekstpodstawowywcity3Znak">
    <w:name w:val="Tekst podstawowy wcięty 3 Znak"/>
    <w:basedOn w:val="Domylnaczcionkaakapitu"/>
    <w:link w:val="Tekstpodstawowywcity3"/>
    <w:qFormat/>
    <w:rPr>
      <w:rFonts w:ascii="Cambria" w:eastAsia="SimSun" w:hAnsi="Cambria" w:cs="Times New Roman"/>
      <w:color w:val="000000"/>
      <w:kern w:val="2"/>
      <w:sz w:val="18"/>
      <w:szCs w:val="20"/>
      <w:lang w:val="de-DE" w:eastAsia="zh-CN"/>
    </w:rPr>
  </w:style>
  <w:style w:type="paragraph" w:customStyle="1" w:styleId="a7">
    <w:name w:val="表题"/>
    <w:basedOn w:val="Nagwek3"/>
    <w:qFormat/>
    <w:pPr>
      <w:tabs>
        <w:tab w:val="center" w:pos="2313"/>
        <w:tab w:val="right" w:pos="4631"/>
      </w:tabs>
      <w:adjustRightInd w:val="0"/>
      <w:snapToGrid w:val="0"/>
      <w:spacing w:before="100" w:after="40" w:line="240" w:lineRule="atLeast"/>
      <w:jc w:val="center"/>
    </w:pPr>
    <w:rPr>
      <w:rFonts w:ascii="Cambria" w:eastAsia="SimHei" w:hAnsi="Cambria" w:cs="Times New Roman"/>
      <w:color w:val="auto"/>
      <w:sz w:val="18"/>
      <w:szCs w:val="20"/>
    </w:rPr>
  </w:style>
  <w:style w:type="character" w:customStyle="1" w:styleId="TekstpodstawowyZnak">
    <w:name w:val="Tekst podstawowy Znak"/>
    <w:basedOn w:val="Domylnaczcionkaakapitu"/>
    <w:link w:val="Tekstpodstawowy"/>
    <w:qFormat/>
    <w:rPr>
      <w:rFonts w:ascii="Cambria" w:eastAsia="SimSun" w:hAnsi="Cambria" w:cs="Times New Roman"/>
      <w:kern w:val="2"/>
      <w:sz w:val="28"/>
      <w:szCs w:val="20"/>
      <w:lang w:val="en-US" w:eastAsia="zh-CN"/>
    </w:rPr>
  </w:style>
  <w:style w:type="paragraph" w:customStyle="1" w:styleId="a8">
    <w:name w:val="公式"/>
    <w:basedOn w:val="Normalny"/>
    <w:link w:val="Char"/>
    <w:qFormat/>
    <w:pPr>
      <w:tabs>
        <w:tab w:val="center" w:pos="2313"/>
        <w:tab w:val="right" w:pos="4632"/>
      </w:tabs>
      <w:adjustRightInd w:val="0"/>
      <w:snapToGrid w:val="0"/>
      <w:spacing w:line="312" w:lineRule="atLeast"/>
    </w:pPr>
    <w:rPr>
      <w:rFonts w:ascii="Cambria" w:hAnsi="Cambria"/>
      <w:sz w:val="18"/>
      <w:szCs w:val="20"/>
    </w:rPr>
  </w:style>
  <w:style w:type="character" w:customStyle="1" w:styleId="Tekstpodstawowy2Znak">
    <w:name w:val="Tekst podstawowy 2 Znak"/>
    <w:basedOn w:val="Domylnaczcionkaakapitu"/>
    <w:link w:val="Tekstpodstawowy2"/>
    <w:qFormat/>
    <w:rPr>
      <w:rFonts w:ascii="Cambria" w:eastAsia="SimSun" w:hAnsi="Cambria" w:cs="Times New Roman"/>
      <w:b/>
      <w:kern w:val="2"/>
      <w:sz w:val="24"/>
      <w:szCs w:val="20"/>
      <w:lang w:val="en-US" w:eastAsia="zh-CN"/>
    </w:rPr>
  </w:style>
  <w:style w:type="paragraph" w:customStyle="1" w:styleId="4">
    <w:name w:val="4仿"/>
    <w:basedOn w:val="Normalny"/>
    <w:qFormat/>
    <w:pPr>
      <w:tabs>
        <w:tab w:val="center" w:pos="2313"/>
        <w:tab w:val="right" w:pos="4631"/>
      </w:tabs>
      <w:adjustRightInd w:val="0"/>
      <w:snapToGrid w:val="0"/>
      <w:spacing w:line="312" w:lineRule="atLeast"/>
      <w:jc w:val="center"/>
    </w:pPr>
    <w:rPr>
      <w:rFonts w:ascii="Cambria" w:eastAsia="FangSong_GB2312" w:hAnsi="Cambria"/>
      <w:sz w:val="28"/>
      <w:szCs w:val="20"/>
    </w:rPr>
  </w:style>
  <w:style w:type="character" w:customStyle="1" w:styleId="Tekstpodstawowy3Znak">
    <w:name w:val="Tekst podstawowy 3 Znak"/>
    <w:basedOn w:val="Domylnaczcionkaakapitu"/>
    <w:link w:val="Tekstpodstawowy3"/>
    <w:qFormat/>
    <w:rPr>
      <w:rFonts w:ascii="Cambria" w:eastAsia="SimSun" w:hAnsi="Cambria" w:cs="Times New Roman"/>
      <w:kern w:val="2"/>
      <w:sz w:val="18"/>
      <w:szCs w:val="20"/>
      <w:lang w:val="en-US" w:eastAsia="zh-CN"/>
    </w:rPr>
  </w:style>
  <w:style w:type="character" w:customStyle="1" w:styleId="ZwykytekstZnak">
    <w:name w:val="Zwykły tekst Znak"/>
    <w:basedOn w:val="Domylnaczcionkaakapitu"/>
    <w:link w:val="Zwykytekst"/>
    <w:qFormat/>
    <w:rPr>
      <w:rFonts w:ascii="SimSun" w:eastAsia="SimSun" w:hAnsi="Courier New" w:cs="Times New Roman"/>
      <w:kern w:val="2"/>
      <w:sz w:val="18"/>
      <w:szCs w:val="20"/>
      <w:lang w:val="en-US" w:eastAsia="zh-CN"/>
    </w:rPr>
  </w:style>
  <w:style w:type="paragraph" w:customStyle="1" w:styleId="Reference">
    <w:name w:val="Reference"/>
    <w:basedOn w:val="Normalny"/>
    <w:qFormat/>
    <w:pPr>
      <w:widowControl/>
      <w:numPr>
        <w:numId w:val="5"/>
      </w:numPr>
      <w:tabs>
        <w:tab w:val="center" w:pos="2313"/>
        <w:tab w:val="right" w:pos="4631"/>
      </w:tabs>
      <w:spacing w:line="240" w:lineRule="exact"/>
    </w:pPr>
    <w:rPr>
      <w:rFonts w:ascii="Helvetica" w:hAnsi="Helvetica"/>
      <w:kern w:val="0"/>
      <w:sz w:val="20"/>
      <w:szCs w:val="20"/>
    </w:rPr>
  </w:style>
  <w:style w:type="character" w:customStyle="1" w:styleId="TekstpodstawowyzwciciemZnak">
    <w:name w:val="Tekst podstawowy z wcięciem Znak"/>
    <w:basedOn w:val="TekstpodstawowyZnak"/>
    <w:link w:val="Tekstpodstawowyzwciciem"/>
    <w:qFormat/>
    <w:rPr>
      <w:rFonts w:ascii="Cambria" w:eastAsia="SimSun" w:hAnsi="Cambria" w:cs="Times New Roman"/>
      <w:kern w:val="2"/>
      <w:sz w:val="24"/>
      <w:szCs w:val="20"/>
      <w:lang w:val="en-US" w:eastAsia="zh-CN"/>
    </w:rPr>
  </w:style>
  <w:style w:type="character" w:customStyle="1" w:styleId="smblacktext1">
    <w:name w:val="smblacktext1"/>
    <w:qFormat/>
    <w:rPr>
      <w:rFonts w:ascii="Arial" w:hAnsi="Arial" w:cs="Arial" w:hint="default"/>
      <w:color w:val="000000"/>
      <w:sz w:val="17"/>
      <w:szCs w:val="17"/>
    </w:rPr>
  </w:style>
  <w:style w:type="character" w:customStyle="1" w:styleId="p1">
    <w:name w:val="p1"/>
    <w:basedOn w:val="Domylnaczcionkaakapitu"/>
    <w:qFormat/>
  </w:style>
  <w:style w:type="character" w:customStyle="1" w:styleId="p6">
    <w:name w:val="p6"/>
    <w:basedOn w:val="Domylnaczcionkaakapitu"/>
    <w:qFormat/>
  </w:style>
  <w:style w:type="paragraph" w:customStyle="1" w:styleId="a">
    <w:name w:val="作者(中文)"/>
    <w:basedOn w:val="Normalny"/>
    <w:qFormat/>
    <w:pPr>
      <w:widowControl/>
      <w:numPr>
        <w:numId w:val="6"/>
      </w:numPr>
      <w:tabs>
        <w:tab w:val="center" w:pos="2313"/>
        <w:tab w:val="right" w:pos="4631"/>
      </w:tabs>
      <w:autoSpaceDE w:val="0"/>
      <w:autoSpaceDN w:val="0"/>
      <w:adjustRightInd w:val="0"/>
      <w:spacing w:line="300" w:lineRule="auto"/>
      <w:ind w:left="0" w:firstLine="0"/>
      <w:jc w:val="center"/>
      <w:textAlignment w:val="bottom"/>
    </w:pPr>
    <w:rPr>
      <w:rFonts w:ascii="Cambria" w:eastAsia="FangSong_GB2312" w:hAnsi="Cambria"/>
      <w:sz w:val="28"/>
      <w:szCs w:val="20"/>
    </w:rPr>
  </w:style>
  <w:style w:type="paragraph" w:customStyle="1" w:styleId="40">
    <w:name w:val="样式4"/>
    <w:basedOn w:val="Normalny"/>
    <w:qFormat/>
    <w:pPr>
      <w:tabs>
        <w:tab w:val="center" w:pos="2313"/>
        <w:tab w:val="right" w:pos="4631"/>
      </w:tabs>
      <w:adjustRightInd w:val="0"/>
      <w:snapToGrid w:val="0"/>
      <w:spacing w:line="316" w:lineRule="atLeast"/>
      <w:ind w:leftChars="212" w:left="447" w:firstLine="14"/>
    </w:pPr>
    <w:rPr>
      <w:rFonts w:ascii="Cambria" w:hAnsi="Cambria"/>
      <w:sz w:val="18"/>
      <w:szCs w:val="20"/>
    </w:rPr>
  </w:style>
  <w:style w:type="paragraph" w:customStyle="1" w:styleId="6">
    <w:name w:val="样式6"/>
    <w:basedOn w:val="5"/>
    <w:qFormat/>
  </w:style>
  <w:style w:type="paragraph" w:customStyle="1" w:styleId="5">
    <w:name w:val="样式5"/>
    <w:basedOn w:val="40"/>
    <w:qFormat/>
    <w:pPr>
      <w:ind w:firstLine="11"/>
    </w:pPr>
  </w:style>
  <w:style w:type="paragraph" w:customStyle="1" w:styleId="3">
    <w:name w:val="样式3"/>
    <w:basedOn w:val="1"/>
    <w:qFormat/>
    <w:pPr>
      <w:pBdr>
        <w:top w:val="none" w:sz="0" w:space="0" w:color="auto"/>
        <w:bottom w:val="none" w:sz="0" w:space="0" w:color="auto"/>
      </w:pBdr>
      <w:tabs>
        <w:tab w:val="center" w:pos="1386"/>
        <w:tab w:val="left" w:pos="4186"/>
        <w:tab w:val="right" w:pos="4649"/>
      </w:tabs>
      <w:adjustRightInd w:val="0"/>
      <w:snapToGrid w:val="0"/>
      <w:spacing w:line="311" w:lineRule="atLeast"/>
      <w:ind w:left="1344" w:right="0" w:firstLineChars="0" w:firstLine="0"/>
      <w:jc w:val="right"/>
    </w:pPr>
    <w:rPr>
      <w:rFonts w:ascii="Cambria" w:eastAsia="SimSun" w:hAnsi="Cambria"/>
      <w:b w:val="0"/>
      <w:sz w:val="18"/>
    </w:rPr>
  </w:style>
  <w:style w:type="paragraph" w:customStyle="1" w:styleId="MTDisplayEquation">
    <w:name w:val="MTDisplayEquation"/>
    <w:basedOn w:val="Normalny"/>
    <w:next w:val="Normalny"/>
    <w:link w:val="MTDisplayEquation0"/>
    <w:qFormat/>
    <w:pPr>
      <w:tabs>
        <w:tab w:val="center" w:pos="2320"/>
        <w:tab w:val="right" w:pos="4640"/>
      </w:tabs>
      <w:topLinePunct/>
      <w:adjustRightInd w:val="0"/>
      <w:snapToGrid w:val="0"/>
      <w:spacing w:line="312" w:lineRule="atLeast"/>
    </w:pPr>
    <w:rPr>
      <w:rFonts w:ascii="Cambria" w:hAnsi="Cambria"/>
      <w:sz w:val="18"/>
      <w:szCs w:val="20"/>
    </w:rPr>
  </w:style>
  <w:style w:type="character" w:customStyle="1" w:styleId="style41">
    <w:name w:val="style41"/>
    <w:qFormat/>
    <w:rPr>
      <w:rFonts w:ascii="Arial" w:hAnsi="Arial" w:cs="Arial" w:hint="default"/>
    </w:rPr>
  </w:style>
  <w:style w:type="paragraph" w:customStyle="1" w:styleId="a9">
    <w:name w:val="图文字"/>
    <w:basedOn w:val="a2"/>
    <w:autoRedefine/>
    <w:qFormat/>
    <w:pPr>
      <w:adjustRightInd/>
      <w:snapToGrid/>
      <w:spacing w:before="120" w:after="80"/>
      <w:textAlignment w:val="center"/>
    </w:pPr>
    <w:rPr>
      <w:rFonts w:ascii="Times New Roman"/>
      <w:color w:val="000000"/>
      <w:position w:val="-12"/>
      <w:szCs w:val="18"/>
    </w:rPr>
  </w:style>
  <w:style w:type="paragraph" w:customStyle="1" w:styleId="aa">
    <w:name w:val="表文字"/>
    <w:basedOn w:val="a2"/>
    <w:autoRedefine/>
    <w:qFormat/>
    <w:pPr>
      <w:adjustRightInd/>
      <w:snapToGrid/>
      <w:spacing w:before="0" w:line="240" w:lineRule="auto"/>
      <w:textAlignment w:val="center"/>
    </w:pPr>
    <w:rPr>
      <w:rFonts w:ascii="Times New Roman"/>
      <w:color w:val="000000"/>
      <w:position w:val="-12"/>
      <w:sz w:val="15"/>
      <w:szCs w:val="15"/>
    </w:rPr>
  </w:style>
  <w:style w:type="paragraph" w:customStyle="1" w:styleId="ab">
    <w:name w:val="子图"/>
    <w:basedOn w:val="Normalny"/>
    <w:next w:val="a2"/>
    <w:autoRedefine/>
    <w:qFormat/>
    <w:pPr>
      <w:tabs>
        <w:tab w:val="center" w:pos="2313"/>
        <w:tab w:val="right" w:pos="4631"/>
      </w:tabs>
      <w:adjustRightInd w:val="0"/>
      <w:snapToGrid w:val="0"/>
      <w:spacing w:before="120" w:after="80"/>
      <w:jc w:val="center"/>
    </w:pPr>
    <w:rPr>
      <w:rFonts w:ascii="Cambria" w:hAnsi="Cambria"/>
      <w:sz w:val="18"/>
      <w:szCs w:val="20"/>
    </w:rPr>
  </w:style>
  <w:style w:type="paragraph" w:customStyle="1" w:styleId="ac">
    <w:name w:val="子图标题"/>
    <w:basedOn w:val="a2"/>
    <w:autoRedefine/>
    <w:qFormat/>
    <w:pPr>
      <w:adjustRightInd/>
      <w:snapToGrid/>
      <w:spacing w:before="0" w:line="240" w:lineRule="atLeast"/>
      <w:textAlignment w:val="center"/>
    </w:pPr>
    <w:rPr>
      <w:rFonts w:ascii="Times New Roman"/>
      <w:color w:val="000000"/>
      <w:position w:val="-12"/>
      <w:sz w:val="15"/>
    </w:rPr>
  </w:style>
  <w:style w:type="paragraph" w:customStyle="1" w:styleId="2">
    <w:name w:val="样式2"/>
    <w:basedOn w:val="a8"/>
    <w:qFormat/>
  </w:style>
  <w:style w:type="paragraph" w:customStyle="1" w:styleId="7">
    <w:name w:val="样式7"/>
    <w:basedOn w:val="Normalny"/>
    <w:qFormat/>
    <w:pPr>
      <w:tabs>
        <w:tab w:val="center" w:pos="2313"/>
        <w:tab w:val="right" w:pos="4631"/>
      </w:tabs>
      <w:topLinePunct/>
      <w:adjustRightInd w:val="0"/>
      <w:snapToGrid w:val="0"/>
      <w:spacing w:line="312" w:lineRule="atLeast"/>
      <w:ind w:firstLine="425"/>
    </w:pPr>
    <w:rPr>
      <w:rFonts w:ascii="Cambria" w:hAnsi="Cambria"/>
      <w:color w:val="000000"/>
      <w:sz w:val="18"/>
      <w:szCs w:val="21"/>
    </w:rPr>
  </w:style>
  <w:style w:type="paragraph" w:customStyle="1" w:styleId="8">
    <w:name w:val="样式8"/>
    <w:basedOn w:val="a2"/>
    <w:qFormat/>
  </w:style>
  <w:style w:type="paragraph" w:customStyle="1" w:styleId="9">
    <w:name w:val="样式9"/>
    <w:basedOn w:val="a3"/>
    <w:qFormat/>
  </w:style>
  <w:style w:type="paragraph" w:customStyle="1" w:styleId="Body">
    <w:name w:val="Body"/>
    <w:basedOn w:val="Normalny"/>
    <w:qFormat/>
    <w:pPr>
      <w:tabs>
        <w:tab w:val="center" w:pos="2313"/>
        <w:tab w:val="right" w:pos="4631"/>
      </w:tabs>
      <w:spacing w:line="280" w:lineRule="exact"/>
    </w:pPr>
    <w:rPr>
      <w:rFonts w:ascii="Cambria" w:eastAsia="MS Mincho" w:hAnsi="Cambria"/>
      <w:sz w:val="20"/>
      <w:lang w:eastAsia="ja-JP"/>
    </w:rPr>
  </w:style>
  <w:style w:type="paragraph" w:customStyle="1" w:styleId="ad">
    <w:name w:val="中文作者"/>
    <w:basedOn w:val="Normalny"/>
    <w:autoRedefine/>
    <w:qFormat/>
    <w:pPr>
      <w:tabs>
        <w:tab w:val="center" w:pos="2313"/>
        <w:tab w:val="right" w:pos="4631"/>
      </w:tabs>
      <w:jc w:val="center"/>
    </w:pPr>
    <w:rPr>
      <w:rFonts w:ascii="Cambria" w:eastAsia="FangSong_GB2312" w:hAnsi="Cambria"/>
      <w:sz w:val="28"/>
      <w:szCs w:val="28"/>
    </w:rPr>
  </w:style>
  <w:style w:type="paragraph" w:customStyle="1" w:styleId="ae">
    <w:name w:val="中文单位"/>
    <w:basedOn w:val="Normalny"/>
    <w:autoRedefine/>
    <w:qFormat/>
    <w:pPr>
      <w:tabs>
        <w:tab w:val="center" w:pos="2313"/>
        <w:tab w:val="right" w:pos="4631"/>
      </w:tabs>
      <w:jc w:val="center"/>
    </w:pPr>
    <w:rPr>
      <w:rFonts w:ascii="SimSun" w:hAnsi="SimSun"/>
      <w:sz w:val="18"/>
      <w:szCs w:val="20"/>
    </w:rPr>
  </w:style>
  <w:style w:type="paragraph" w:customStyle="1" w:styleId="af">
    <w:name w:val="图题"/>
    <w:basedOn w:val="Normalny"/>
    <w:autoRedefine/>
    <w:qFormat/>
    <w:pPr>
      <w:tabs>
        <w:tab w:val="center" w:pos="2313"/>
        <w:tab w:val="right" w:pos="4631"/>
      </w:tabs>
      <w:jc w:val="center"/>
    </w:pPr>
    <w:rPr>
      <w:rFonts w:ascii="SimSun" w:hAnsi="SimSun" w:cs="Arial"/>
      <w:sz w:val="18"/>
      <w:szCs w:val="18"/>
    </w:rPr>
  </w:style>
  <w:style w:type="paragraph" w:customStyle="1" w:styleId="u">
    <w:name w:val="u"/>
    <w:basedOn w:val="Normalny"/>
    <w:qFormat/>
    <w:pPr>
      <w:tabs>
        <w:tab w:val="center" w:pos="2313"/>
        <w:tab w:val="right" w:pos="4631"/>
      </w:tabs>
      <w:jc w:val="center"/>
    </w:pPr>
    <w:rPr>
      <w:rFonts w:ascii="Cambria" w:hAnsi="Cambria"/>
      <w:b/>
      <w:bCs/>
      <w:sz w:val="30"/>
    </w:rPr>
  </w:style>
  <w:style w:type="paragraph" w:customStyle="1" w:styleId="af0">
    <w:name w:val="英文单位"/>
    <w:basedOn w:val="Normalny"/>
    <w:autoRedefine/>
    <w:qFormat/>
    <w:pPr>
      <w:tabs>
        <w:tab w:val="center" w:pos="2313"/>
        <w:tab w:val="right" w:pos="4631"/>
      </w:tabs>
      <w:jc w:val="center"/>
    </w:pPr>
    <w:rPr>
      <w:rFonts w:ascii="Cambria" w:hAnsi="Cambria"/>
      <w:i/>
      <w:sz w:val="18"/>
    </w:rPr>
  </w:style>
  <w:style w:type="character" w:customStyle="1" w:styleId="af1">
    <w:name w:val="中文摘要"/>
    <w:qFormat/>
    <w:rPr>
      <w:rFonts w:ascii="Times New Roman" w:eastAsia="KaiTi_GB2312" w:hAnsi="Times New Roman"/>
    </w:rPr>
  </w:style>
  <w:style w:type="paragraph" w:customStyle="1" w:styleId="af2">
    <w:name w:val="英文作者"/>
    <w:basedOn w:val="Normalny"/>
    <w:qFormat/>
    <w:pPr>
      <w:tabs>
        <w:tab w:val="center" w:pos="2313"/>
        <w:tab w:val="right" w:pos="4631"/>
      </w:tabs>
      <w:jc w:val="center"/>
    </w:pPr>
    <w:rPr>
      <w:rFonts w:ascii="Cambria" w:hAnsi="Cambria"/>
      <w:i/>
      <w:sz w:val="18"/>
      <w:szCs w:val="20"/>
    </w:rPr>
  </w:style>
  <w:style w:type="paragraph" w:customStyle="1" w:styleId="a1">
    <w:name w:val="大标题"/>
    <w:basedOn w:val="Nagwek3"/>
    <w:autoRedefine/>
    <w:qFormat/>
    <w:pPr>
      <w:numPr>
        <w:numId w:val="7"/>
      </w:numPr>
      <w:tabs>
        <w:tab w:val="center" w:pos="2313"/>
        <w:tab w:val="right" w:pos="4631"/>
      </w:tabs>
      <w:spacing w:after="40" w:line="360" w:lineRule="auto"/>
    </w:pPr>
    <w:rPr>
      <w:rFonts w:ascii="Cambria" w:eastAsia="SimSun" w:hAnsi="Cambria" w:cs="Times New Roman"/>
      <w:b/>
      <w:bCs/>
      <w:color w:val="auto"/>
      <w:sz w:val="28"/>
      <w:szCs w:val="28"/>
    </w:rPr>
  </w:style>
  <w:style w:type="character" w:customStyle="1" w:styleId="TekstprzypisukocowegoZnak">
    <w:name w:val="Tekst przypisu końcowego Znak"/>
    <w:basedOn w:val="Domylnaczcionkaakapitu"/>
    <w:link w:val="Tekstprzypisukocowego"/>
    <w:semiHidden/>
    <w:qFormat/>
    <w:rPr>
      <w:rFonts w:ascii="Cambria" w:eastAsia="SimSun" w:hAnsi="Cambria" w:cs="Times New Roman"/>
      <w:kern w:val="2"/>
      <w:sz w:val="18"/>
      <w:szCs w:val="24"/>
      <w:lang w:val="en-US" w:eastAsia="zh-CN"/>
    </w:rPr>
  </w:style>
  <w:style w:type="character" w:customStyle="1" w:styleId="medblacktext1">
    <w:name w:val="medblacktext1"/>
    <w:qFormat/>
    <w:rPr>
      <w:rFonts w:ascii="Arial" w:hAnsi="Arial" w:cs="Arial" w:hint="default"/>
      <w:color w:val="000000"/>
      <w:sz w:val="16"/>
      <w:szCs w:val="16"/>
    </w:rPr>
  </w:style>
  <w:style w:type="paragraph" w:customStyle="1" w:styleId="30">
    <w:name w:val="标题3"/>
    <w:basedOn w:val="Nagwek3"/>
    <w:next w:val="Normalny"/>
    <w:qFormat/>
    <w:pPr>
      <w:tabs>
        <w:tab w:val="center" w:pos="2313"/>
        <w:tab w:val="right" w:pos="4631"/>
      </w:tabs>
      <w:spacing w:before="0"/>
    </w:pPr>
    <w:rPr>
      <w:rFonts w:ascii="Cambria" w:eastAsia="SimHei" w:hAnsi="Cambria" w:cs="Times New Roman"/>
      <w:bCs/>
      <w:color w:val="auto"/>
    </w:rPr>
  </w:style>
  <w:style w:type="character" w:customStyle="1" w:styleId="datatitle1">
    <w:name w:val="datatitle1"/>
    <w:qFormat/>
    <w:rPr>
      <w:b/>
      <w:bCs/>
      <w:color w:val="10619F"/>
      <w:sz w:val="21"/>
      <w:szCs w:val="21"/>
    </w:rPr>
  </w:style>
  <w:style w:type="character" w:customStyle="1" w:styleId="simjour">
    <w:name w:val="simjour"/>
    <w:basedOn w:val="Domylnaczcionkaakapitu"/>
    <w:qFormat/>
  </w:style>
  <w:style w:type="character" w:customStyle="1" w:styleId="datatitle">
    <w:name w:val="datatitle"/>
    <w:basedOn w:val="Domylnaczcionkaakapitu"/>
    <w:qFormat/>
  </w:style>
  <w:style w:type="paragraph" w:customStyle="1" w:styleId="41">
    <w:name w:val="标题4"/>
    <w:basedOn w:val="Normalny"/>
    <w:qFormat/>
    <w:pPr>
      <w:tabs>
        <w:tab w:val="center" w:pos="2313"/>
        <w:tab w:val="right" w:pos="4631"/>
      </w:tabs>
      <w:snapToGrid w:val="0"/>
      <w:spacing w:before="60" w:after="40" w:line="245" w:lineRule="auto"/>
      <w:jc w:val="left"/>
      <w:outlineLvl w:val="3"/>
    </w:pPr>
    <w:rPr>
      <w:rFonts w:ascii="Cambria" w:eastAsia="方正小标宋简体" w:hAnsi="Cambria"/>
      <w:spacing w:val="4"/>
      <w:sz w:val="24"/>
      <w:szCs w:val="20"/>
    </w:rPr>
  </w:style>
  <w:style w:type="character" w:customStyle="1" w:styleId="Char0">
    <w:name w:val="地址 Char"/>
    <w:qFormat/>
    <w:rPr>
      <w:rFonts w:eastAsia="SimSun"/>
      <w:kern w:val="2"/>
      <w:sz w:val="21"/>
      <w:lang w:val="en-US" w:eastAsia="zh-CN" w:bidi="ar-SA"/>
    </w:rPr>
  </w:style>
  <w:style w:type="character" w:customStyle="1" w:styleId="TekstkomentarzaZnak">
    <w:name w:val="Tekst komentarza Znak"/>
    <w:basedOn w:val="Domylnaczcionkaakapitu"/>
    <w:link w:val="Tekstkomentarza"/>
    <w:uiPriority w:val="99"/>
    <w:qFormat/>
    <w:rPr>
      <w:rFonts w:ascii="Calibri" w:eastAsia="SimSun" w:hAnsi="Calibri" w:cs="Times New Roman"/>
      <w:kern w:val="2"/>
      <w:sz w:val="20"/>
      <w:szCs w:val="20"/>
      <w:lang w:val="en-US" w:eastAsia="zh-CN"/>
    </w:rPr>
  </w:style>
  <w:style w:type="character" w:customStyle="1" w:styleId="TematkomentarzaZnak">
    <w:name w:val="Temat komentarza Znak"/>
    <w:basedOn w:val="TekstkomentarzaZnak"/>
    <w:link w:val="Tematkomentarza"/>
    <w:uiPriority w:val="99"/>
    <w:semiHidden/>
    <w:qFormat/>
    <w:rPr>
      <w:rFonts w:ascii="Cambria" w:eastAsia="SimSun" w:hAnsi="Cambria" w:cs="Times New Roman"/>
      <w:b/>
      <w:bCs/>
      <w:kern w:val="2"/>
      <w:sz w:val="18"/>
      <w:szCs w:val="20"/>
      <w:lang w:val="en-US" w:eastAsia="zh-CN"/>
    </w:rPr>
  </w:style>
  <w:style w:type="character" w:customStyle="1" w:styleId="TekstdymkaZnak">
    <w:name w:val="Tekst dymka Znak"/>
    <w:basedOn w:val="Domylnaczcionkaakapitu"/>
    <w:link w:val="Tekstdymka"/>
    <w:uiPriority w:val="99"/>
    <w:semiHidden/>
    <w:qFormat/>
    <w:rPr>
      <w:rFonts w:ascii="Cambria" w:eastAsia="SimSun" w:hAnsi="Cambria" w:cs="Times New Roman"/>
      <w:kern w:val="2"/>
      <w:sz w:val="18"/>
      <w:szCs w:val="18"/>
      <w:lang w:val="en-US" w:eastAsia="zh-CN"/>
    </w:rPr>
  </w:style>
  <w:style w:type="paragraph" w:customStyle="1" w:styleId="Char1">
    <w:name w:val="Char"/>
    <w:basedOn w:val="Normalny"/>
    <w:qFormat/>
    <w:pPr>
      <w:tabs>
        <w:tab w:val="center" w:pos="2313"/>
        <w:tab w:val="right" w:pos="4631"/>
      </w:tabs>
      <w:spacing w:line="300" w:lineRule="auto"/>
    </w:pPr>
    <w:rPr>
      <w:rFonts w:ascii="SimHei" w:eastAsia="FangSong_GB2312" w:hAnsi="Cambria" w:cs="SimHei"/>
      <w:sz w:val="24"/>
    </w:rPr>
  </w:style>
  <w:style w:type="paragraph" w:customStyle="1" w:styleId="Char1CharCharChar">
    <w:name w:val="Char1 Char Char Char"/>
    <w:basedOn w:val="Normalny"/>
    <w:qFormat/>
    <w:pPr>
      <w:tabs>
        <w:tab w:val="center" w:pos="2313"/>
        <w:tab w:val="right" w:pos="4631"/>
      </w:tabs>
      <w:adjustRightInd w:val="0"/>
      <w:spacing w:line="360" w:lineRule="atLeast"/>
      <w:ind w:firstLine="454"/>
      <w:textAlignment w:val="baseline"/>
    </w:pPr>
    <w:rPr>
      <w:rFonts w:ascii="Cambria" w:hAnsi="Cambria"/>
      <w:kern w:val="0"/>
      <w:sz w:val="18"/>
      <w:szCs w:val="20"/>
    </w:rPr>
  </w:style>
  <w:style w:type="character" w:customStyle="1" w:styleId="CommentTextChar1CharChar">
    <w:name w:val="Comment Text Char1 Char Char"/>
    <w:semiHidden/>
    <w:qFormat/>
    <w:locked/>
    <w:rPr>
      <w:rFonts w:eastAsia="SimSun"/>
      <w:kern w:val="2"/>
      <w:sz w:val="21"/>
      <w:lang w:val="en-US" w:eastAsia="zh-CN" w:bidi="ar-SA"/>
    </w:rPr>
  </w:style>
  <w:style w:type="paragraph" w:customStyle="1" w:styleId="CharCharCharChar">
    <w:name w:val="Char Char Char Char"/>
    <w:basedOn w:val="Normalny"/>
    <w:qFormat/>
    <w:pPr>
      <w:widowControl/>
      <w:tabs>
        <w:tab w:val="center" w:pos="2313"/>
        <w:tab w:val="right" w:pos="4631"/>
      </w:tabs>
      <w:spacing w:after="160"/>
      <w:ind w:firstLineChars="200" w:firstLine="200"/>
      <w:jc w:val="left"/>
    </w:pPr>
    <w:rPr>
      <w:rFonts w:ascii="Cambria" w:hAnsi="Cambria"/>
      <w:sz w:val="18"/>
      <w:szCs w:val="20"/>
    </w:rPr>
  </w:style>
  <w:style w:type="paragraph" w:customStyle="1" w:styleId="a0">
    <w:name w:val="规定条目子项"/>
    <w:basedOn w:val="Normalny"/>
    <w:qFormat/>
    <w:pPr>
      <w:numPr>
        <w:numId w:val="8"/>
      </w:numPr>
      <w:tabs>
        <w:tab w:val="center" w:pos="2313"/>
        <w:tab w:val="right" w:pos="4631"/>
      </w:tabs>
      <w:spacing w:line="360" w:lineRule="auto"/>
      <w:ind w:left="1260" w:firstLine="0"/>
    </w:pPr>
    <w:rPr>
      <w:rFonts w:ascii="Cambria" w:hAnsi="Cambria"/>
      <w:sz w:val="24"/>
    </w:rPr>
  </w:style>
  <w:style w:type="paragraph" w:customStyle="1" w:styleId="af3">
    <w:name w:val="规定章节"/>
    <w:basedOn w:val="Nagwek1"/>
    <w:autoRedefine/>
    <w:qFormat/>
    <w:pPr>
      <w:keepNext/>
      <w:keepLines/>
      <w:numPr>
        <w:numId w:val="0"/>
      </w:numPr>
      <w:tabs>
        <w:tab w:val="clear" w:pos="567"/>
        <w:tab w:val="left" w:pos="266"/>
        <w:tab w:val="center" w:pos="2313"/>
        <w:tab w:val="right" w:pos="4631"/>
      </w:tabs>
      <w:spacing w:before="0" w:after="0" w:line="360" w:lineRule="auto"/>
      <w:contextualSpacing w:val="0"/>
      <w:jc w:val="center"/>
    </w:pPr>
    <w:rPr>
      <w:rFonts w:ascii="Cambria" w:eastAsia="SimHei" w:hAnsi="Cambria"/>
      <w:b w:val="0"/>
      <w:kern w:val="44"/>
      <w:sz w:val="32"/>
      <w:szCs w:val="44"/>
      <w:lang w:eastAsia="zh-CN"/>
    </w:rPr>
  </w:style>
  <w:style w:type="paragraph" w:customStyle="1" w:styleId="CharCharChar">
    <w:name w:val="Char Char Char"/>
    <w:basedOn w:val="Normalny"/>
    <w:qFormat/>
    <w:pPr>
      <w:tabs>
        <w:tab w:val="center" w:pos="2313"/>
        <w:tab w:val="right" w:pos="4631"/>
      </w:tabs>
      <w:spacing w:line="360" w:lineRule="auto"/>
      <w:ind w:firstLineChars="200" w:firstLine="200"/>
    </w:pPr>
    <w:rPr>
      <w:rFonts w:ascii="Cambria" w:hAnsi="Cambria"/>
      <w:sz w:val="18"/>
    </w:rPr>
  </w:style>
  <w:style w:type="paragraph" w:customStyle="1" w:styleId="sponsors">
    <w:name w:val="sponsors"/>
    <w:qFormat/>
    <w:pPr>
      <w:framePr w:wrap="auto" w:hAnchor="text" w:x="615" w:y="2239"/>
      <w:pBdr>
        <w:top w:val="single" w:sz="4" w:space="2" w:color="auto"/>
      </w:pBdr>
      <w:ind w:firstLine="288"/>
    </w:pPr>
    <w:rPr>
      <w:rFonts w:ascii="Times New Roman" w:eastAsia="SimSun" w:hAnsi="Times New Roman" w:cs="Times New Roman"/>
      <w:sz w:val="16"/>
      <w:szCs w:val="16"/>
      <w:lang w:val="en-US" w:eastAsia="en-US"/>
    </w:rPr>
  </w:style>
  <w:style w:type="character" w:customStyle="1" w:styleId="MapadokumentuZnak">
    <w:name w:val="Mapa dokumentu Znak"/>
    <w:basedOn w:val="Domylnaczcionkaakapitu"/>
    <w:link w:val="Mapadokumentu"/>
    <w:semiHidden/>
    <w:qFormat/>
    <w:rPr>
      <w:rFonts w:ascii="Cambria" w:eastAsia="SimSun" w:hAnsi="Cambria" w:cs="Times New Roman"/>
      <w:kern w:val="2"/>
      <w:sz w:val="18"/>
      <w:szCs w:val="20"/>
      <w:shd w:val="clear" w:color="auto" w:fill="000080"/>
      <w:lang w:val="en-US" w:eastAsia="zh-CN"/>
    </w:rPr>
  </w:style>
  <w:style w:type="paragraph" w:customStyle="1" w:styleId="11">
    <w:name w:val="样式 左1"/>
    <w:basedOn w:val="Normalny"/>
    <w:qFormat/>
    <w:pPr>
      <w:tabs>
        <w:tab w:val="center" w:pos="2313"/>
        <w:tab w:val="right" w:pos="4631"/>
      </w:tabs>
      <w:spacing w:line="300" w:lineRule="exact"/>
      <w:ind w:firstLineChars="200" w:firstLine="200"/>
      <w:jc w:val="left"/>
    </w:pPr>
    <w:rPr>
      <w:rFonts w:cs="SimSun"/>
      <w:sz w:val="18"/>
      <w:szCs w:val="20"/>
    </w:rPr>
  </w:style>
  <w:style w:type="paragraph" w:customStyle="1" w:styleId="20">
    <w:name w:val="样式 首行缩进:  2 字符"/>
    <w:basedOn w:val="Normalny"/>
    <w:qFormat/>
    <w:pPr>
      <w:tabs>
        <w:tab w:val="center" w:pos="2313"/>
        <w:tab w:val="right" w:pos="4631"/>
      </w:tabs>
      <w:ind w:firstLineChars="200" w:firstLine="420"/>
    </w:pPr>
    <w:rPr>
      <w:rFonts w:ascii="Cambria" w:hAnsi="Cambria" w:cs="SimSun"/>
      <w:sz w:val="18"/>
      <w:szCs w:val="20"/>
    </w:rPr>
  </w:style>
  <w:style w:type="paragraph" w:customStyle="1" w:styleId="202">
    <w:name w:val="样式 首行缩进:  2.02 字符"/>
    <w:basedOn w:val="Normalny"/>
    <w:qFormat/>
    <w:pPr>
      <w:tabs>
        <w:tab w:val="center" w:pos="2313"/>
        <w:tab w:val="right" w:pos="4631"/>
      </w:tabs>
      <w:ind w:firstLineChars="202" w:firstLine="424"/>
    </w:pPr>
    <w:rPr>
      <w:rFonts w:ascii="Cambria" w:hAnsi="Cambria" w:cs="SimSun"/>
      <w:sz w:val="18"/>
      <w:szCs w:val="20"/>
    </w:rPr>
  </w:style>
  <w:style w:type="character" w:customStyle="1" w:styleId="HTML-wstpniesformatowanyZnak">
    <w:name w:val="HTML - wstępnie sformatowany Znak"/>
    <w:basedOn w:val="Domylnaczcionkaakapitu"/>
    <w:link w:val="HTML-wstpniesformatowany"/>
    <w:qFormat/>
    <w:rPr>
      <w:rFonts w:ascii="SimSun" w:eastAsia="SimSun" w:hAnsi="SimSun" w:cs="SimSun"/>
      <w:sz w:val="24"/>
      <w:szCs w:val="24"/>
      <w:lang w:val="en-US" w:eastAsia="zh-CN"/>
    </w:rPr>
  </w:style>
  <w:style w:type="paragraph" w:customStyle="1" w:styleId="CharCharCharCharCharChar1CharCharCharCharCharChar">
    <w:name w:val="Char Char Char Char Char Char1 Char Char Char Char Char Char"/>
    <w:basedOn w:val="Normalny"/>
    <w:qFormat/>
    <w:pPr>
      <w:tabs>
        <w:tab w:val="center" w:pos="2313"/>
        <w:tab w:val="right" w:pos="4631"/>
      </w:tabs>
      <w:spacing w:line="360" w:lineRule="auto"/>
      <w:ind w:firstLineChars="200" w:firstLine="200"/>
    </w:pPr>
    <w:rPr>
      <w:rFonts w:ascii="Cambria" w:hAnsi="Cambria"/>
      <w:sz w:val="18"/>
    </w:rPr>
  </w:style>
  <w:style w:type="paragraph" w:customStyle="1" w:styleId="CharCharCharCharCharChar1Char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Char"/>
    <w:basedOn w:val="Normalny"/>
    <w:qFormat/>
    <w:pPr>
      <w:tabs>
        <w:tab w:val="center" w:pos="2313"/>
        <w:tab w:val="right" w:pos="4631"/>
      </w:tabs>
      <w:spacing w:line="360" w:lineRule="auto"/>
      <w:ind w:firstLineChars="200" w:firstLine="200"/>
    </w:pPr>
    <w:rPr>
      <w:rFonts w:ascii="Cambria" w:hAnsi="Cambria"/>
      <w:sz w:val="18"/>
    </w:rPr>
  </w:style>
  <w:style w:type="paragraph" w:customStyle="1" w:styleId="Poprawka1">
    <w:name w:val="Poprawka1"/>
    <w:hidden/>
    <w:semiHidden/>
    <w:qFormat/>
    <w:rPr>
      <w:rFonts w:ascii="Times New Roman" w:eastAsia="SimSun" w:hAnsi="Times New Roman" w:cs="Times New Roman"/>
      <w:kern w:val="2"/>
      <w:sz w:val="21"/>
      <w:lang w:val="en-US" w:eastAsia="zh-CN"/>
    </w:rPr>
  </w:style>
  <w:style w:type="paragraph" w:customStyle="1" w:styleId="equation">
    <w:name w:val="equation"/>
    <w:basedOn w:val="Normalny"/>
    <w:next w:val="Normalny"/>
    <w:qFormat/>
    <w:pPr>
      <w:widowControl/>
      <w:tabs>
        <w:tab w:val="center" w:pos="2313"/>
        <w:tab w:val="right" w:pos="4631"/>
      </w:tabs>
      <w:overflowPunct w:val="0"/>
      <w:autoSpaceDE w:val="0"/>
      <w:autoSpaceDN w:val="0"/>
      <w:adjustRightInd w:val="0"/>
      <w:spacing w:before="120" w:after="120" w:line="360" w:lineRule="auto"/>
      <w:jc w:val="center"/>
      <w:textAlignment w:val="baseline"/>
    </w:pPr>
    <w:rPr>
      <w:rFonts w:ascii="Cambria" w:hAnsi="Cambria"/>
      <w:kern w:val="0"/>
      <w:sz w:val="24"/>
      <w:szCs w:val="20"/>
      <w:lang w:val="de-DE"/>
    </w:rPr>
  </w:style>
  <w:style w:type="character" w:customStyle="1" w:styleId="trans">
    <w:name w:val="trans"/>
    <w:basedOn w:val="Domylnaczcionkaakapitu"/>
    <w:qFormat/>
  </w:style>
  <w:style w:type="character" w:customStyle="1" w:styleId="Char">
    <w:name w:val="公式 Char"/>
    <w:link w:val="a8"/>
    <w:qFormat/>
    <w:rPr>
      <w:rFonts w:ascii="Cambria" w:eastAsia="SimSun" w:hAnsi="Cambria" w:cs="Times New Roman"/>
      <w:kern w:val="2"/>
      <w:sz w:val="18"/>
      <w:szCs w:val="20"/>
      <w:lang w:val="en-US" w:eastAsia="zh-CN"/>
    </w:rPr>
  </w:style>
  <w:style w:type="paragraph" w:customStyle="1" w:styleId="references">
    <w:name w:val="references"/>
    <w:qFormat/>
    <w:pPr>
      <w:numPr>
        <w:numId w:val="9"/>
      </w:numPr>
      <w:spacing w:after="50" w:line="180" w:lineRule="exact"/>
      <w:jc w:val="both"/>
    </w:pPr>
    <w:rPr>
      <w:rFonts w:ascii="Times New Roman" w:eastAsia="MS Mincho" w:hAnsi="Times New Roman" w:cs="Times New Roman"/>
      <w:sz w:val="16"/>
      <w:szCs w:val="16"/>
      <w:lang w:val="en-US" w:eastAsia="en-US"/>
    </w:rPr>
  </w:style>
  <w:style w:type="character" w:customStyle="1" w:styleId="CharChar3">
    <w:name w:val="Char Char3"/>
    <w:qFormat/>
    <w:rPr>
      <w:kern w:val="2"/>
      <w:sz w:val="18"/>
    </w:rPr>
  </w:style>
  <w:style w:type="character" w:customStyle="1" w:styleId="def">
    <w:name w:val="def"/>
    <w:basedOn w:val="Domylnaczcionkaakapitu"/>
    <w:qFormat/>
  </w:style>
  <w:style w:type="paragraph" w:customStyle="1" w:styleId="Default">
    <w:name w:val="Default"/>
    <w:qFormat/>
    <w:pPr>
      <w:widowControl w:val="0"/>
      <w:autoSpaceDE w:val="0"/>
      <w:autoSpaceDN w:val="0"/>
      <w:adjustRightInd w:val="0"/>
    </w:pPr>
    <w:rPr>
      <w:rFonts w:ascii="SimSun" w:eastAsia="SimSun" w:hAnsi="Times New Roman" w:cs="SimSun"/>
      <w:color w:val="000000"/>
      <w:sz w:val="24"/>
      <w:szCs w:val="24"/>
      <w:lang w:val="en-US" w:eastAsia="zh-CN"/>
    </w:rPr>
  </w:style>
  <w:style w:type="character" w:customStyle="1" w:styleId="hps">
    <w:name w:val="hps"/>
    <w:basedOn w:val="Domylnaczcionkaakapitu"/>
    <w:qFormat/>
  </w:style>
  <w:style w:type="paragraph" w:customStyle="1" w:styleId="CharCharCharCharCharCharChar">
    <w:name w:val="Char Char Char Char Char Char Char"/>
    <w:basedOn w:val="Normalny"/>
    <w:qFormat/>
    <w:pPr>
      <w:widowControl/>
      <w:tabs>
        <w:tab w:val="center" w:pos="2313"/>
        <w:tab w:val="right" w:pos="4631"/>
      </w:tabs>
      <w:spacing w:after="160" w:line="240" w:lineRule="exact"/>
      <w:jc w:val="left"/>
    </w:pPr>
    <w:rPr>
      <w:rFonts w:ascii="Arial" w:eastAsia="Times New Roman" w:hAnsi="Arial" w:cs="Verdana"/>
      <w:b/>
      <w:kern w:val="0"/>
      <w:sz w:val="24"/>
      <w:lang w:eastAsia="en-US"/>
    </w:rPr>
  </w:style>
  <w:style w:type="character" w:customStyle="1" w:styleId="12">
    <w:name w:val="批注引用1"/>
    <w:qFormat/>
    <w:rPr>
      <w:sz w:val="21"/>
      <w:szCs w:val="21"/>
    </w:rPr>
  </w:style>
  <w:style w:type="character" w:customStyle="1" w:styleId="BodyTextIndentCharChar">
    <w:name w:val="Body Text Indent Char Char"/>
    <w:link w:val="13"/>
    <w:qFormat/>
    <w:rPr>
      <w:rFonts w:ascii="Cambria" w:eastAsia="SimSun" w:hAnsi="Cambria" w:cs="Times New Roman"/>
      <w:kern w:val="2"/>
      <w:sz w:val="18"/>
      <w:szCs w:val="20"/>
      <w:lang w:val="en-US" w:eastAsia="zh-CN"/>
    </w:rPr>
  </w:style>
  <w:style w:type="paragraph" w:customStyle="1" w:styleId="13">
    <w:name w:val="正文文本缩进1"/>
    <w:basedOn w:val="Normalny"/>
    <w:link w:val="BodyTextIndentCharChar"/>
    <w:qFormat/>
    <w:pPr>
      <w:tabs>
        <w:tab w:val="center" w:pos="2313"/>
        <w:tab w:val="right" w:pos="4631"/>
      </w:tabs>
      <w:ind w:left="315" w:hanging="315"/>
    </w:pPr>
    <w:rPr>
      <w:rFonts w:ascii="Cambria" w:hAnsi="Cambria"/>
      <w:sz w:val="18"/>
      <w:szCs w:val="20"/>
    </w:rPr>
  </w:style>
  <w:style w:type="character" w:customStyle="1" w:styleId="14">
    <w:name w:val="占位符文本1"/>
    <w:qFormat/>
    <w:rPr>
      <w:color w:val="808080"/>
    </w:rPr>
  </w:style>
  <w:style w:type="character" w:customStyle="1" w:styleId="15">
    <w:name w:val="页码1"/>
    <w:basedOn w:val="Domylnaczcionkaakapitu"/>
    <w:qFormat/>
  </w:style>
  <w:style w:type="character" w:customStyle="1" w:styleId="CharChar">
    <w:name w:val="地址 Char Char"/>
    <w:qFormat/>
    <w:rPr>
      <w:rFonts w:eastAsia="SimSun"/>
      <w:kern w:val="2"/>
      <w:sz w:val="21"/>
      <w:lang w:val="en-US" w:eastAsia="zh-CN"/>
    </w:rPr>
  </w:style>
  <w:style w:type="paragraph" w:customStyle="1" w:styleId="50">
    <w:name w:val="标题5"/>
    <w:basedOn w:val="Normalny"/>
    <w:qFormat/>
    <w:pPr>
      <w:tabs>
        <w:tab w:val="center" w:pos="2313"/>
        <w:tab w:val="right" w:pos="4631"/>
      </w:tabs>
      <w:snapToGrid w:val="0"/>
      <w:spacing w:before="50" w:after="50" w:line="245" w:lineRule="auto"/>
      <w:jc w:val="left"/>
      <w:outlineLvl w:val="4"/>
    </w:pPr>
    <w:rPr>
      <w:rFonts w:ascii="Cambria" w:eastAsia="方正小标宋简体" w:hAnsi="Cambria"/>
      <w:spacing w:val="4"/>
      <w:sz w:val="20"/>
      <w:szCs w:val="20"/>
    </w:rPr>
  </w:style>
  <w:style w:type="paragraph" w:customStyle="1" w:styleId="16">
    <w:name w:val="正文缩进1"/>
    <w:basedOn w:val="Normalny"/>
    <w:qFormat/>
    <w:pPr>
      <w:tabs>
        <w:tab w:val="center" w:pos="2313"/>
        <w:tab w:val="right" w:pos="4631"/>
      </w:tabs>
      <w:ind w:firstLine="420"/>
    </w:pPr>
    <w:rPr>
      <w:rFonts w:ascii="Cambria" w:hAnsi="Cambria"/>
      <w:sz w:val="18"/>
      <w:szCs w:val="20"/>
    </w:rPr>
  </w:style>
  <w:style w:type="paragraph" w:customStyle="1" w:styleId="21">
    <w:name w:val="正文文本缩进 21"/>
    <w:basedOn w:val="Normalny"/>
    <w:qFormat/>
    <w:pPr>
      <w:tabs>
        <w:tab w:val="center" w:pos="2313"/>
        <w:tab w:val="right" w:pos="4631"/>
      </w:tabs>
      <w:adjustRightInd w:val="0"/>
      <w:snapToGrid w:val="0"/>
      <w:spacing w:line="313" w:lineRule="atLeast"/>
      <w:ind w:left="266" w:hanging="266"/>
    </w:pPr>
    <w:rPr>
      <w:rFonts w:ascii="Cambria" w:hAnsi="Cambria"/>
      <w:sz w:val="18"/>
      <w:szCs w:val="20"/>
    </w:rPr>
  </w:style>
  <w:style w:type="paragraph" w:customStyle="1" w:styleId="17">
    <w:name w:val="列出段落1"/>
    <w:basedOn w:val="Normalny"/>
    <w:qFormat/>
    <w:pPr>
      <w:tabs>
        <w:tab w:val="center" w:pos="2313"/>
        <w:tab w:val="right" w:pos="4631"/>
      </w:tabs>
      <w:ind w:firstLineChars="200" w:firstLine="420"/>
    </w:pPr>
    <w:rPr>
      <w:rFonts w:ascii="Cambria" w:hAnsi="Cambria" w:cs="SimHei"/>
      <w:sz w:val="18"/>
      <w:szCs w:val="21"/>
    </w:rPr>
  </w:style>
  <w:style w:type="paragraph" w:customStyle="1" w:styleId="210">
    <w:name w:val="正文文本 21"/>
    <w:basedOn w:val="Normalny"/>
    <w:qFormat/>
    <w:pPr>
      <w:tabs>
        <w:tab w:val="center" w:pos="2313"/>
        <w:tab w:val="right" w:pos="4631"/>
      </w:tabs>
      <w:jc w:val="center"/>
    </w:pPr>
    <w:rPr>
      <w:rFonts w:ascii="Cambria" w:hAnsi="Cambria"/>
      <w:b/>
      <w:sz w:val="24"/>
      <w:szCs w:val="20"/>
    </w:rPr>
  </w:style>
  <w:style w:type="paragraph" w:customStyle="1" w:styleId="18">
    <w:name w:val="批注主题1"/>
    <w:basedOn w:val="Tekstkomentarza"/>
    <w:next w:val="Tekstkomentarza"/>
    <w:qFormat/>
    <w:pPr>
      <w:tabs>
        <w:tab w:val="center" w:pos="2313"/>
        <w:tab w:val="right" w:pos="4631"/>
      </w:tabs>
      <w:jc w:val="left"/>
    </w:pPr>
    <w:rPr>
      <w:rFonts w:ascii="Cambria" w:hAnsi="Cambria"/>
      <w:b/>
      <w:bCs/>
      <w:sz w:val="18"/>
    </w:rPr>
  </w:style>
  <w:style w:type="paragraph" w:customStyle="1" w:styleId="19">
    <w:name w:val="普通(网站)1"/>
    <w:basedOn w:val="Normalny"/>
    <w:qFormat/>
    <w:pPr>
      <w:widowControl/>
      <w:tabs>
        <w:tab w:val="center" w:pos="2313"/>
        <w:tab w:val="right" w:pos="4631"/>
      </w:tabs>
      <w:jc w:val="left"/>
    </w:pPr>
    <w:rPr>
      <w:rFonts w:ascii="SimSun" w:hAnsi="SimSun" w:cs="SimSun"/>
      <w:kern w:val="0"/>
      <w:sz w:val="24"/>
    </w:rPr>
  </w:style>
  <w:style w:type="paragraph" w:customStyle="1" w:styleId="TOC1">
    <w:name w:val="TOC 标题1"/>
    <w:basedOn w:val="Nagwek1"/>
    <w:next w:val="Normalny"/>
    <w:qFormat/>
    <w:pPr>
      <w:keepNext/>
      <w:keepLines/>
      <w:widowControl/>
      <w:numPr>
        <w:numId w:val="0"/>
      </w:numPr>
      <w:tabs>
        <w:tab w:val="clear" w:pos="567"/>
        <w:tab w:val="center" w:pos="2313"/>
        <w:tab w:val="right" w:pos="4631"/>
      </w:tabs>
      <w:spacing w:before="480" w:after="0" w:line="276" w:lineRule="auto"/>
      <w:contextualSpacing w:val="0"/>
      <w:jc w:val="left"/>
      <w:outlineLvl w:val="9"/>
    </w:pPr>
    <w:rPr>
      <w:rFonts w:ascii="Cambria" w:eastAsia="SimSun" w:hAnsi="Cambria" w:cs="SimHei"/>
      <w:color w:val="365F90"/>
      <w:kern w:val="0"/>
      <w:sz w:val="28"/>
      <w:szCs w:val="28"/>
      <w:lang w:eastAsia="zh-CN"/>
    </w:rPr>
  </w:style>
  <w:style w:type="paragraph" w:customStyle="1" w:styleId="gongshi">
    <w:name w:val="gongshi"/>
    <w:basedOn w:val="Normalny"/>
    <w:next w:val="Normalny"/>
    <w:link w:val="gongshiChar"/>
    <w:qFormat/>
    <w:pPr>
      <w:tabs>
        <w:tab w:val="center" w:pos="2313"/>
        <w:tab w:val="center" w:pos="4560"/>
        <w:tab w:val="right" w:pos="4631"/>
        <w:tab w:val="right" w:pos="9030"/>
      </w:tabs>
      <w:snapToGrid w:val="0"/>
      <w:spacing w:line="300" w:lineRule="auto"/>
      <w:ind w:firstLineChars="200" w:firstLine="200"/>
      <w:jc w:val="left"/>
      <w:textAlignment w:val="center"/>
    </w:pPr>
    <w:rPr>
      <w:rFonts w:ascii="Cambria" w:hAnsi="Cambria"/>
      <w:sz w:val="24"/>
    </w:rPr>
  </w:style>
  <w:style w:type="character" w:customStyle="1" w:styleId="gongshiChar">
    <w:name w:val="gongshi Char"/>
    <w:link w:val="gongshi"/>
    <w:qFormat/>
    <w:rPr>
      <w:rFonts w:ascii="Cambria" w:eastAsia="SimSun" w:hAnsi="Cambria" w:cs="Times New Roman"/>
      <w:kern w:val="2"/>
      <w:sz w:val="24"/>
      <w:szCs w:val="24"/>
      <w:lang w:val="en-US" w:eastAsia="zh-CN"/>
    </w:rPr>
  </w:style>
  <w:style w:type="character" w:customStyle="1" w:styleId="fontstyle01">
    <w:name w:val="fontstyle01"/>
    <w:basedOn w:val="Domylnaczcionkaakapitu"/>
    <w:qFormat/>
    <w:rPr>
      <w:rFonts w:ascii="AdvOT596495f2" w:hAnsi="AdvOT596495f2" w:hint="default"/>
      <w:color w:val="000000"/>
      <w:sz w:val="16"/>
      <w:szCs w:val="16"/>
    </w:rPr>
  </w:style>
  <w:style w:type="paragraph" w:customStyle="1" w:styleId="110">
    <w:name w:val="标题1.1"/>
    <w:basedOn w:val="Normalny"/>
    <w:link w:val="111"/>
    <w:qFormat/>
    <w:pPr>
      <w:tabs>
        <w:tab w:val="center" w:pos="2313"/>
        <w:tab w:val="right" w:pos="4631"/>
      </w:tabs>
      <w:topLinePunct/>
      <w:adjustRightInd w:val="0"/>
      <w:snapToGrid w:val="0"/>
      <w:outlineLvl w:val="1"/>
    </w:pPr>
    <w:rPr>
      <w:rFonts w:ascii="Cambria" w:hAnsi="Cambria"/>
      <w:b/>
      <w:color w:val="000000"/>
      <w:sz w:val="18"/>
      <w:szCs w:val="20"/>
    </w:rPr>
  </w:style>
  <w:style w:type="paragraph" w:customStyle="1" w:styleId="1a">
    <w:name w:val="标题1."/>
    <w:basedOn w:val="Nagwek2"/>
    <w:link w:val="1b"/>
    <w:qFormat/>
    <w:pPr>
      <w:tabs>
        <w:tab w:val="center" w:pos="2313"/>
        <w:tab w:val="right" w:pos="4631"/>
      </w:tabs>
      <w:snapToGrid w:val="0"/>
      <w:spacing w:before="0" w:after="0"/>
      <w:ind w:firstLine="0"/>
      <w:outlineLvl w:val="0"/>
    </w:pPr>
    <w:rPr>
      <w:rFonts w:ascii="Cambria" w:eastAsia="SimSun" w:hAnsi="Cambria"/>
      <w:b w:val="0"/>
      <w:bCs w:val="0"/>
      <w:color w:val="000000"/>
      <w:sz w:val="28"/>
    </w:rPr>
  </w:style>
  <w:style w:type="character" w:customStyle="1" w:styleId="111">
    <w:name w:val="标题1.1 字符"/>
    <w:basedOn w:val="Domylnaczcionkaakapitu"/>
    <w:link w:val="110"/>
    <w:qFormat/>
    <w:rPr>
      <w:rFonts w:ascii="Cambria" w:eastAsia="SimSun" w:hAnsi="Cambria" w:cs="Times New Roman"/>
      <w:b/>
      <w:color w:val="000000"/>
      <w:kern w:val="2"/>
      <w:sz w:val="18"/>
      <w:szCs w:val="20"/>
      <w:lang w:val="en-US" w:eastAsia="zh-CN"/>
    </w:rPr>
  </w:style>
  <w:style w:type="character" w:customStyle="1" w:styleId="1b">
    <w:name w:val="标题1. 字符"/>
    <w:basedOn w:val="Nagwek2Znak"/>
    <w:link w:val="1a"/>
    <w:qFormat/>
    <w:rPr>
      <w:rFonts w:ascii="Cambria" w:eastAsia="SimSun" w:hAnsi="Cambria" w:cs="Times New Roman"/>
      <w:b w:val="0"/>
      <w:bCs w:val="0"/>
      <w:color w:val="000000"/>
      <w:kern w:val="2"/>
      <w:sz w:val="28"/>
      <w:szCs w:val="20"/>
      <w:lang w:val="en-US" w:eastAsia="zh-CN"/>
    </w:rPr>
  </w:style>
  <w:style w:type="character" w:customStyle="1" w:styleId="viiyi">
    <w:name w:val="viiyi"/>
    <w:basedOn w:val="Domylnaczcionkaakapitu"/>
    <w:qFormat/>
  </w:style>
  <w:style w:type="table" w:customStyle="1" w:styleId="Tabela-Siatka3">
    <w:name w:val="Tabela - Siatka3"/>
    <w:basedOn w:val="Standardowy"/>
    <w:uiPriority w:val="39"/>
    <w:qFormat/>
    <w:rPr>
      <w:rFonts w:ascii="Times New Roman" w:eastAsia="Times New Roman" w:hAnsi="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39"/>
    <w:qFormat/>
    <w:rPr>
      <w:rFonts w:ascii="Times New Roman" w:eastAsia="Times New Roman" w:hAnsi="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39"/>
    <w:qFormat/>
    <w:rPr>
      <w:rFonts w:ascii="Times New Roman" w:eastAsia="Times New Roman" w:hAnsi="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uiPriority w:val="39"/>
    <w:qFormat/>
    <w:rPr>
      <w:rFonts w:ascii="Times New Roman" w:eastAsia="Times New Roman" w:hAnsi="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 list"/>
    <w:basedOn w:val="Tekstpodstawowy"/>
    <w:qFormat/>
    <w:pPr>
      <w:widowControl/>
      <w:numPr>
        <w:numId w:val="10"/>
      </w:numPr>
      <w:tabs>
        <w:tab w:val="clear" w:pos="648"/>
        <w:tab w:val="clear" w:pos="2313"/>
        <w:tab w:val="clear" w:pos="4631"/>
      </w:tabs>
      <w:suppressAutoHyphens/>
      <w:autoSpaceDE w:val="0"/>
      <w:autoSpaceDN w:val="0"/>
      <w:adjustRightInd w:val="0"/>
      <w:spacing w:line="240" w:lineRule="exact"/>
      <w:ind w:left="576" w:hanging="288"/>
    </w:pPr>
    <w:rPr>
      <w:rFonts w:ascii="Times New Roman" w:eastAsia="Times New Roman" w:hAnsi="Times New Roman" w:cs="TimesLTStd-Roman"/>
      <w:spacing w:val="-2"/>
      <w:kern w:val="0"/>
      <w:sz w:val="20"/>
      <w:lang w:eastAsia="en-US"/>
    </w:rPr>
  </w:style>
  <w:style w:type="paragraph" w:customStyle="1" w:styleId="AMDisplayEquation">
    <w:name w:val="AMDisplayEquation"/>
    <w:basedOn w:val="Normalny"/>
    <w:next w:val="Normalny"/>
    <w:link w:val="AMDisplayEquation0"/>
    <w:qFormat/>
    <w:pPr>
      <w:tabs>
        <w:tab w:val="center" w:pos="4160"/>
        <w:tab w:val="right" w:pos="8300"/>
      </w:tabs>
      <w:spacing w:line="360" w:lineRule="auto"/>
    </w:pPr>
    <w:rPr>
      <w:rFonts w:ascii="Times New Roman" w:hAnsi="Times New Roman" w:cstheme="minorBidi"/>
      <w:sz w:val="24"/>
      <w:szCs w:val="22"/>
    </w:rPr>
  </w:style>
  <w:style w:type="character" w:customStyle="1" w:styleId="AMDisplayEquation0">
    <w:name w:val="AMDisplayEquation 字符"/>
    <w:basedOn w:val="Domylnaczcionkaakapitu"/>
    <w:link w:val="AMDisplayEquation"/>
    <w:qFormat/>
    <w:rPr>
      <w:rFonts w:ascii="Times New Roman" w:eastAsia="SimSun" w:hAnsi="Times New Roman"/>
      <w:kern w:val="2"/>
      <w:sz w:val="24"/>
      <w:lang w:val="en-US" w:eastAsia="zh-CN"/>
    </w:rPr>
  </w:style>
  <w:style w:type="paragraph" w:customStyle="1" w:styleId="keywords">
    <w:name w:val="keywords"/>
    <w:basedOn w:val="Normalny"/>
    <w:link w:val="keywords0"/>
    <w:qFormat/>
    <w:pPr>
      <w:widowControl/>
      <w:tabs>
        <w:tab w:val="right" w:pos="7200"/>
      </w:tabs>
      <w:spacing w:before="120" w:after="120" w:line="200" w:lineRule="exact"/>
      <w:ind w:left="360" w:right="360"/>
    </w:pPr>
    <w:rPr>
      <w:rFonts w:ascii="Times New Roman" w:hAnsi="Times New Roman"/>
      <w:snapToGrid w:val="0"/>
      <w:kern w:val="0"/>
      <w:sz w:val="16"/>
      <w:szCs w:val="20"/>
      <w:lang w:eastAsia="en-US"/>
    </w:rPr>
  </w:style>
  <w:style w:type="character" w:customStyle="1" w:styleId="keywords0">
    <w:name w:val="keywords 字符"/>
    <w:basedOn w:val="Domylnaczcionkaakapitu"/>
    <w:link w:val="keywords"/>
    <w:qFormat/>
    <w:rPr>
      <w:rFonts w:ascii="Times New Roman" w:eastAsia="SimSun" w:hAnsi="Times New Roman" w:cs="Times New Roman"/>
      <w:snapToGrid w:val="0"/>
      <w:sz w:val="16"/>
      <w:szCs w:val="20"/>
      <w:lang w:val="en-US"/>
    </w:rPr>
  </w:style>
  <w:style w:type="character" w:customStyle="1" w:styleId="AMEquationSection">
    <w:name w:val="AMEquationSection"/>
    <w:basedOn w:val="Domylnaczcionkaakapitu"/>
    <w:qFormat/>
    <w:rPr>
      <w:b/>
      <w:vanish/>
      <w:color w:val="FF0000"/>
      <w:sz w:val="32"/>
    </w:rPr>
  </w:style>
  <w:style w:type="paragraph" w:customStyle="1" w:styleId="EndNoteBibliographyTitle">
    <w:name w:val="EndNote Bibliography Title"/>
    <w:basedOn w:val="Normalny"/>
    <w:link w:val="EndNoteBibliographyTitle0"/>
    <w:qFormat/>
    <w:pPr>
      <w:spacing w:line="360" w:lineRule="auto"/>
      <w:jc w:val="center"/>
    </w:pPr>
    <w:rPr>
      <w:rFonts w:ascii="Times New Roman" w:hAnsi="Times New Roman"/>
      <w:sz w:val="24"/>
      <w:szCs w:val="22"/>
    </w:rPr>
  </w:style>
  <w:style w:type="character" w:customStyle="1" w:styleId="EndNoteBibliographyTitle0">
    <w:name w:val="EndNote Bibliography Title 字符"/>
    <w:basedOn w:val="Domylnaczcionkaakapitu"/>
    <w:link w:val="EndNoteBibliographyTitle"/>
    <w:qFormat/>
    <w:rPr>
      <w:rFonts w:ascii="Times New Roman" w:eastAsia="SimSun" w:hAnsi="Times New Roman" w:cs="Times New Roman"/>
      <w:kern w:val="2"/>
      <w:sz w:val="24"/>
      <w:lang w:val="en-US" w:eastAsia="zh-CN"/>
    </w:rPr>
  </w:style>
  <w:style w:type="paragraph" w:customStyle="1" w:styleId="EndNoteBibliography">
    <w:name w:val="EndNote Bibliography"/>
    <w:basedOn w:val="Normalny"/>
    <w:link w:val="EndNoteBibliography0"/>
    <w:qFormat/>
    <w:rPr>
      <w:rFonts w:ascii="Times New Roman" w:hAnsi="Times New Roman"/>
      <w:sz w:val="24"/>
      <w:szCs w:val="22"/>
    </w:rPr>
  </w:style>
  <w:style w:type="character" w:customStyle="1" w:styleId="EndNoteBibliography0">
    <w:name w:val="EndNote Bibliography 字符"/>
    <w:basedOn w:val="Domylnaczcionkaakapitu"/>
    <w:link w:val="EndNoteBibliography"/>
    <w:qFormat/>
    <w:rPr>
      <w:rFonts w:ascii="Times New Roman" w:eastAsia="SimSun" w:hAnsi="Times New Roman" w:cs="Times New Roman"/>
      <w:kern w:val="2"/>
      <w:sz w:val="24"/>
      <w:lang w:val="en-US" w:eastAsia="zh-CN"/>
    </w:rPr>
  </w:style>
  <w:style w:type="character" w:customStyle="1" w:styleId="MTEquationSection">
    <w:name w:val="MTEquationSection"/>
    <w:basedOn w:val="Domylnaczcionkaakapitu"/>
    <w:qFormat/>
    <w:rPr>
      <w:b/>
      <w:vanish/>
      <w:color w:val="FF0000"/>
      <w:sz w:val="32"/>
    </w:rPr>
  </w:style>
  <w:style w:type="character" w:customStyle="1" w:styleId="MTDisplayEquation0">
    <w:name w:val="MTDisplayEquation 字符"/>
    <w:basedOn w:val="Domylnaczcionkaakapitu"/>
    <w:link w:val="MTDisplayEquation"/>
    <w:qFormat/>
    <w:rPr>
      <w:rFonts w:ascii="Cambria" w:eastAsia="SimSun" w:hAnsi="Cambria" w:cs="Times New Roman"/>
      <w:kern w:val="2"/>
      <w:sz w:val="18"/>
      <w:szCs w:val="20"/>
      <w:lang w:val="en-US" w:eastAsia="zh-CN"/>
    </w:rPr>
  </w:style>
  <w:style w:type="character" w:customStyle="1" w:styleId="Nierozpoznanawzmianka2">
    <w:name w:val="Nierozpoznana wzmianka2"/>
    <w:basedOn w:val="Domylnaczcionkaakapitu"/>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oleObject" Target="embeddings/oleObject1.bin"/><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hyperlink" Target="mailto:ez_dong@aeu.edu.cn," TargetMode="Externa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2.emf"/><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25775D-9717-4EF4-B78A-25CC88C8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8122</Words>
  <Characters>48736</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2026-03-03T18:46:00Z</dcterms:created>
  <dcterms:modified xsi:type="dcterms:W3CDTF">2026-03-03T18:57:00Z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D668CFB5D5DC4D64BAD6F1D2FB8AF408_13</vt:lpwstr>
  </property>
  <property fmtid="{D5CDD505-2E9C-101B-9397-08002B2CF9AE}" pid="4" name="KSOTemplateDocerSaveRecord">
    <vt:lpwstr>eyJoZGlkIjoiODdmYmRlYzYxN2FlMjQ4M2Q3YTVjNmYyMDI5OWI5MTAiLCJ1c2VySWQiOiIxNDcxOTc4MzQ3In0=</vt:lpwstr>
  </property>
</Properties>
</file>